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7E72F" w14:textId="77777777" w:rsidR="00CF49B9" w:rsidRDefault="00CF49B9" w:rsidP="00CF49B9">
      <w:pPr>
        <w:pStyle w:val="Ttulo2"/>
        <w:rPr>
          <w:i w:val="0"/>
        </w:rPr>
      </w:pPr>
      <w:bookmarkStart w:id="0" w:name="_Toc63251814"/>
    </w:p>
    <w:p w14:paraId="00BEDD71" w14:textId="21F7BD5A" w:rsidR="00CF49B9" w:rsidRPr="00A83EC4" w:rsidRDefault="00CF49B9" w:rsidP="00CF49B9">
      <w:pPr>
        <w:pStyle w:val="Ttulo2"/>
        <w:rPr>
          <w:i w:val="0"/>
        </w:rPr>
      </w:pPr>
      <w:r w:rsidRPr="00A83EC4">
        <w:rPr>
          <w:i w:val="0"/>
        </w:rPr>
        <w:t>ANEXO 5. FORMATO DE ASPECTOS RELEVANTES DE LA EVALUACIÓN (FARE)</w:t>
      </w:r>
      <w:bookmarkEnd w:id="0"/>
    </w:p>
    <w:p w14:paraId="3541EE86" w14:textId="77777777" w:rsidR="00CF49B9" w:rsidRDefault="00CF49B9" w:rsidP="00CF49B9">
      <w:pPr>
        <w:spacing w:after="0" w:line="240" w:lineRule="auto"/>
        <w:rPr>
          <w:rFonts w:ascii="Cambria" w:eastAsia="Cambria" w:hAnsi="Cambria" w:cs="Cambria"/>
          <w:b/>
          <w:i/>
        </w:rPr>
      </w:pPr>
    </w:p>
    <w:tbl>
      <w:tblPr>
        <w:tblStyle w:val="1"/>
        <w:tblW w:w="8941" w:type="dxa"/>
        <w:jc w:val="center"/>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00" w:firstRow="0" w:lastRow="0" w:firstColumn="0" w:lastColumn="0" w:noHBand="0" w:noVBand="1"/>
      </w:tblPr>
      <w:tblGrid>
        <w:gridCol w:w="1129"/>
        <w:gridCol w:w="1276"/>
        <w:gridCol w:w="2126"/>
        <w:gridCol w:w="1701"/>
        <w:gridCol w:w="443"/>
        <w:gridCol w:w="463"/>
        <w:gridCol w:w="1803"/>
      </w:tblGrid>
      <w:tr w:rsidR="00CF49B9" w14:paraId="5A631188" w14:textId="77777777" w:rsidTr="001422F7">
        <w:trPr>
          <w:trHeight w:val="583"/>
          <w:jc w:val="center"/>
        </w:trPr>
        <w:tc>
          <w:tcPr>
            <w:tcW w:w="2405" w:type="dxa"/>
            <w:gridSpan w:val="2"/>
            <w:shd w:val="clear" w:color="auto" w:fill="AEAAAA"/>
            <w:vAlign w:val="center"/>
          </w:tcPr>
          <w:p w14:paraId="3D68668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i/>
                <w:color w:val="FFFFFF"/>
                <w:sz w:val="16"/>
                <w:szCs w:val="16"/>
              </w:rPr>
            </w:pPr>
            <w:r>
              <w:rPr>
                <w:rFonts w:ascii="Cambria" w:eastAsia="Cambria" w:hAnsi="Cambria" w:cs="Cambria"/>
                <w:b/>
                <w:color w:val="FFFFFF"/>
                <w:sz w:val="16"/>
                <w:szCs w:val="16"/>
              </w:rPr>
              <w:t>Nombre de la evaluación:</w:t>
            </w:r>
          </w:p>
        </w:tc>
        <w:tc>
          <w:tcPr>
            <w:tcW w:w="6536" w:type="dxa"/>
            <w:gridSpan w:val="5"/>
            <w:shd w:val="clear" w:color="auto" w:fill="AEAAAA"/>
            <w:vAlign w:val="center"/>
          </w:tcPr>
          <w:p w14:paraId="6932BBFF" w14:textId="02DABD91" w:rsidR="00CF49B9" w:rsidRDefault="00B42C5C" w:rsidP="001422F7">
            <w:pPr>
              <w:pBdr>
                <w:top w:val="nil"/>
                <w:left w:val="nil"/>
                <w:bottom w:val="nil"/>
                <w:right w:val="nil"/>
                <w:between w:val="nil"/>
              </w:pBdr>
              <w:spacing w:before="20" w:after="0" w:line="240" w:lineRule="auto"/>
              <w:rPr>
                <w:rFonts w:ascii="Cambria" w:eastAsia="Cambria" w:hAnsi="Cambria" w:cs="Cambria"/>
                <w:color w:val="FFFFFF"/>
                <w:sz w:val="16"/>
                <w:szCs w:val="16"/>
              </w:rPr>
            </w:pPr>
            <w:r>
              <w:rPr>
                <w:rFonts w:ascii="Cambria" w:eastAsia="Cambria" w:hAnsi="Cambria" w:cs="Cambria"/>
                <w:color w:val="FFFFFF"/>
                <w:sz w:val="16"/>
                <w:szCs w:val="16"/>
              </w:rPr>
              <w:t xml:space="preserve">Evaluación de procesos del programa </w:t>
            </w:r>
            <w:r w:rsidR="00BC3954">
              <w:rPr>
                <w:rFonts w:ascii="Cambria" w:eastAsia="Cambria" w:hAnsi="Cambria" w:cs="Cambria"/>
                <w:color w:val="FFFFFF"/>
                <w:sz w:val="16"/>
                <w:szCs w:val="16"/>
              </w:rPr>
              <w:t>Producción para el Bienestar</w:t>
            </w:r>
          </w:p>
        </w:tc>
      </w:tr>
      <w:tr w:rsidR="00CF49B9" w14:paraId="561909D9" w14:textId="77777777" w:rsidTr="001422F7">
        <w:trPr>
          <w:trHeight w:val="583"/>
          <w:jc w:val="center"/>
        </w:trPr>
        <w:tc>
          <w:tcPr>
            <w:tcW w:w="2405" w:type="dxa"/>
            <w:gridSpan w:val="2"/>
            <w:shd w:val="clear" w:color="auto" w:fill="auto"/>
            <w:vAlign w:val="center"/>
          </w:tcPr>
          <w:p w14:paraId="25A47D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Objetivo de la evaluación:</w:t>
            </w:r>
          </w:p>
        </w:tc>
        <w:tc>
          <w:tcPr>
            <w:tcW w:w="6536" w:type="dxa"/>
            <w:gridSpan w:val="5"/>
            <w:shd w:val="clear" w:color="auto" w:fill="auto"/>
            <w:vAlign w:val="center"/>
          </w:tcPr>
          <w:p w14:paraId="327BE550" w14:textId="29B85E5F" w:rsidR="00CF49B9" w:rsidRDefault="00B42C5C"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sidRPr="00B42C5C">
              <w:rPr>
                <w:rFonts w:ascii="Cambria" w:eastAsia="Cambria" w:hAnsi="Cambria" w:cs="Cambria"/>
                <w:color w:val="000000"/>
                <w:sz w:val="16"/>
                <w:szCs w:val="16"/>
              </w:rPr>
              <w:t xml:space="preserve">Realizar un análisis sistemático de la gestión </w:t>
            </w:r>
            <w:r w:rsidRPr="009B2382">
              <w:rPr>
                <w:rFonts w:ascii="Cambria" w:eastAsia="Cambria" w:hAnsi="Cambria" w:cs="Cambria"/>
                <w:sz w:val="16"/>
                <w:szCs w:val="16"/>
              </w:rPr>
              <w:t xml:space="preserve">operativa </w:t>
            </w:r>
            <w:r w:rsidR="00B041D2" w:rsidRPr="009B2382">
              <w:rPr>
                <w:rFonts w:ascii="Cambria" w:eastAsia="Cambria" w:hAnsi="Cambria" w:cs="Cambria"/>
                <w:sz w:val="16"/>
                <w:szCs w:val="16"/>
              </w:rPr>
              <w:t>del</w:t>
            </w:r>
            <w:r w:rsidRPr="009B2382">
              <w:rPr>
                <w:rFonts w:ascii="Cambria" w:eastAsia="Cambria" w:hAnsi="Cambria" w:cs="Cambria"/>
                <w:sz w:val="16"/>
                <w:szCs w:val="16"/>
              </w:rPr>
              <w:t xml:space="preserve"> </w:t>
            </w:r>
            <w:r w:rsidR="0088018A" w:rsidRPr="009B2382">
              <w:rPr>
                <w:rFonts w:ascii="Cambria" w:eastAsia="Cambria" w:hAnsi="Cambria" w:cs="Cambria"/>
                <w:sz w:val="16"/>
                <w:szCs w:val="16"/>
              </w:rPr>
              <w:t xml:space="preserve">Programa </w:t>
            </w:r>
            <w:r w:rsidR="00820861" w:rsidRPr="009B2382">
              <w:rPr>
                <w:rFonts w:ascii="Cambria" w:eastAsia="Cambria" w:hAnsi="Cambria" w:cs="Cambria"/>
                <w:sz w:val="16"/>
                <w:szCs w:val="16"/>
              </w:rPr>
              <w:t>Precios de Garantía a Productos Alimentarios Básicos</w:t>
            </w:r>
            <w:r w:rsidRPr="009B2382">
              <w:rPr>
                <w:rFonts w:ascii="Cambria" w:eastAsia="Cambria" w:hAnsi="Cambria" w:cs="Cambria"/>
                <w:sz w:val="16"/>
                <w:szCs w:val="16"/>
              </w:rPr>
              <w:t xml:space="preserve">, que permita valorar si dicha gestión cumple </w:t>
            </w:r>
            <w:r w:rsidRPr="00B42C5C">
              <w:rPr>
                <w:rFonts w:ascii="Cambria" w:eastAsia="Cambria" w:hAnsi="Cambria" w:cs="Cambria"/>
                <w:color w:val="000000"/>
                <w:sz w:val="16"/>
                <w:szCs w:val="16"/>
              </w:rPr>
              <w:t xml:space="preserve">con lo necesario para el logro de las metas y objetivos </w:t>
            </w:r>
            <w:proofErr w:type="gramStart"/>
            <w:r w:rsidRPr="00B42C5C">
              <w:rPr>
                <w:rFonts w:ascii="Cambria" w:eastAsia="Cambria" w:hAnsi="Cambria" w:cs="Cambria"/>
                <w:color w:val="000000"/>
                <w:sz w:val="16"/>
                <w:szCs w:val="16"/>
              </w:rPr>
              <w:t>de</w:t>
            </w:r>
            <w:r w:rsidR="00B041D2">
              <w:rPr>
                <w:rFonts w:ascii="Cambria" w:eastAsia="Cambria" w:hAnsi="Cambria" w:cs="Cambria"/>
                <w:color w:val="000000"/>
                <w:sz w:val="16"/>
                <w:szCs w:val="16"/>
              </w:rPr>
              <w:t>l mismo</w:t>
            </w:r>
            <w:proofErr w:type="gramEnd"/>
            <w:r w:rsidRPr="00B42C5C">
              <w:rPr>
                <w:rFonts w:ascii="Cambria" w:eastAsia="Cambria" w:hAnsi="Cambria" w:cs="Cambria"/>
                <w:color w:val="000000"/>
                <w:sz w:val="16"/>
                <w:szCs w:val="16"/>
              </w:rPr>
              <w:t xml:space="preserve">. Así como, hacer recomendaciones que permitan la instrumentación de mejoras.  </w:t>
            </w:r>
          </w:p>
        </w:tc>
      </w:tr>
      <w:tr w:rsidR="00CF49B9" w14:paraId="54BAB56D" w14:textId="77777777" w:rsidTr="001422F7">
        <w:trPr>
          <w:trHeight w:val="583"/>
          <w:jc w:val="center"/>
        </w:trPr>
        <w:tc>
          <w:tcPr>
            <w:tcW w:w="2405" w:type="dxa"/>
            <w:gridSpan w:val="2"/>
            <w:shd w:val="clear" w:color="auto" w:fill="D9D9D9"/>
            <w:vAlign w:val="center"/>
          </w:tcPr>
          <w:p w14:paraId="199BB73B"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Tipo de evaluación: </w:t>
            </w:r>
          </w:p>
        </w:tc>
        <w:tc>
          <w:tcPr>
            <w:tcW w:w="3827" w:type="dxa"/>
            <w:gridSpan w:val="2"/>
            <w:shd w:val="clear" w:color="auto" w:fill="D9D9D9"/>
            <w:vAlign w:val="center"/>
          </w:tcPr>
          <w:p w14:paraId="05D10D68" w14:textId="59D526E6"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Evaluación de Procesos</w:t>
            </w:r>
          </w:p>
        </w:tc>
        <w:tc>
          <w:tcPr>
            <w:tcW w:w="906" w:type="dxa"/>
            <w:gridSpan w:val="2"/>
            <w:shd w:val="clear" w:color="auto" w:fill="D9D9D9"/>
            <w:vAlign w:val="center"/>
          </w:tcPr>
          <w:p w14:paraId="3FFC006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PAE: </w:t>
            </w:r>
          </w:p>
        </w:tc>
        <w:tc>
          <w:tcPr>
            <w:tcW w:w="1803" w:type="dxa"/>
            <w:shd w:val="clear" w:color="auto" w:fill="D9D9D9"/>
            <w:vAlign w:val="center"/>
          </w:tcPr>
          <w:p w14:paraId="41A792E2" w14:textId="7111873A"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2022</w:t>
            </w:r>
          </w:p>
        </w:tc>
      </w:tr>
      <w:tr w:rsidR="00CF49B9" w14:paraId="6431FB71" w14:textId="77777777" w:rsidTr="001422F7">
        <w:trPr>
          <w:trHeight w:val="583"/>
          <w:jc w:val="center"/>
        </w:trPr>
        <w:tc>
          <w:tcPr>
            <w:tcW w:w="1129" w:type="dxa"/>
            <w:shd w:val="clear" w:color="auto" w:fill="auto"/>
            <w:vAlign w:val="center"/>
          </w:tcPr>
          <w:p w14:paraId="19CF01D3" w14:textId="77777777" w:rsidR="00CF49B9" w:rsidRPr="00C16422" w:rsidRDefault="00CF49B9" w:rsidP="001422F7">
            <w:pPr>
              <w:pBdr>
                <w:top w:val="nil"/>
                <w:left w:val="nil"/>
                <w:bottom w:val="nil"/>
                <w:right w:val="nil"/>
                <w:between w:val="nil"/>
              </w:pBdr>
              <w:spacing w:after="0" w:line="240" w:lineRule="auto"/>
              <w:rPr>
                <w:rFonts w:ascii="Cambria" w:eastAsia="Cambria" w:hAnsi="Cambria" w:cs="Cambria"/>
                <w:b/>
                <w:sz w:val="16"/>
                <w:szCs w:val="16"/>
              </w:rPr>
            </w:pPr>
            <w:r w:rsidRPr="00C16422">
              <w:rPr>
                <w:rFonts w:ascii="Cambria" w:eastAsia="Cambria" w:hAnsi="Cambria" w:cs="Cambria"/>
                <w:b/>
                <w:sz w:val="16"/>
                <w:szCs w:val="16"/>
              </w:rPr>
              <w:t>Ramo:</w:t>
            </w:r>
          </w:p>
        </w:tc>
        <w:tc>
          <w:tcPr>
            <w:tcW w:w="7812" w:type="dxa"/>
            <w:gridSpan w:val="6"/>
            <w:shd w:val="clear" w:color="auto" w:fill="auto"/>
            <w:vAlign w:val="center"/>
          </w:tcPr>
          <w:p w14:paraId="3585AC5B" w14:textId="5057CC92" w:rsidR="00CF49B9" w:rsidRPr="00C16422" w:rsidRDefault="00EA0137" w:rsidP="001422F7">
            <w:pPr>
              <w:pBdr>
                <w:top w:val="nil"/>
                <w:left w:val="nil"/>
                <w:bottom w:val="nil"/>
                <w:right w:val="nil"/>
                <w:between w:val="nil"/>
              </w:pBdr>
              <w:spacing w:before="120" w:after="120" w:line="240" w:lineRule="auto"/>
              <w:rPr>
                <w:rFonts w:ascii="Cambria" w:eastAsia="Cambria" w:hAnsi="Cambria" w:cs="Cambria"/>
                <w:sz w:val="16"/>
                <w:szCs w:val="16"/>
              </w:rPr>
            </w:pPr>
            <w:r w:rsidRPr="00C16422">
              <w:rPr>
                <w:rFonts w:ascii="Cambria" w:eastAsia="Cambria" w:hAnsi="Cambria" w:cs="Cambria"/>
                <w:sz w:val="16"/>
                <w:szCs w:val="16"/>
              </w:rPr>
              <w:t>08</w:t>
            </w:r>
            <w:r w:rsidR="00B041D2" w:rsidRPr="00C16422">
              <w:rPr>
                <w:rFonts w:ascii="Cambria" w:eastAsia="Cambria" w:hAnsi="Cambria" w:cs="Cambria"/>
                <w:sz w:val="16"/>
                <w:szCs w:val="16"/>
              </w:rPr>
              <w:t xml:space="preserve"> </w:t>
            </w:r>
            <w:proofErr w:type="gramStart"/>
            <w:r w:rsidRPr="00C16422">
              <w:rPr>
                <w:rFonts w:ascii="Cambria" w:eastAsia="Cambria" w:hAnsi="Cambria" w:cs="Cambria"/>
                <w:sz w:val="16"/>
                <w:szCs w:val="16"/>
              </w:rPr>
              <w:t>Agricultura</w:t>
            </w:r>
            <w:proofErr w:type="gramEnd"/>
            <w:r w:rsidRPr="00C16422">
              <w:rPr>
                <w:rFonts w:ascii="Cambria" w:eastAsia="Cambria" w:hAnsi="Cambria" w:cs="Cambria"/>
                <w:sz w:val="16"/>
                <w:szCs w:val="16"/>
              </w:rPr>
              <w:t xml:space="preserve"> y Desarrollo Rural</w:t>
            </w:r>
          </w:p>
        </w:tc>
      </w:tr>
      <w:tr w:rsidR="00CF49B9" w14:paraId="027B0C2A" w14:textId="77777777" w:rsidTr="001422F7">
        <w:trPr>
          <w:trHeight w:val="583"/>
          <w:jc w:val="center"/>
        </w:trPr>
        <w:tc>
          <w:tcPr>
            <w:tcW w:w="1129" w:type="dxa"/>
            <w:shd w:val="clear" w:color="auto" w:fill="E7E6E6"/>
            <w:vAlign w:val="center"/>
          </w:tcPr>
          <w:p w14:paraId="6C881CD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Modalidad y Clave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1276" w:type="dxa"/>
            <w:shd w:val="clear" w:color="auto" w:fill="E7E6E6"/>
            <w:vAlign w:val="center"/>
          </w:tcPr>
          <w:p w14:paraId="3CC6D7BE" w14:textId="4191F886" w:rsidR="00CF49B9" w:rsidRDefault="00B041D2" w:rsidP="001422F7">
            <w:pPr>
              <w:pBdr>
                <w:top w:val="nil"/>
                <w:left w:val="nil"/>
                <w:bottom w:val="nil"/>
                <w:right w:val="nil"/>
                <w:between w:val="nil"/>
              </w:pBdr>
              <w:spacing w:before="20" w:after="0" w:line="240" w:lineRule="auto"/>
              <w:rPr>
                <w:rFonts w:ascii="Cambria" w:eastAsia="Cambria" w:hAnsi="Cambria" w:cs="Cambria"/>
                <w:color w:val="000000"/>
                <w:sz w:val="16"/>
                <w:szCs w:val="16"/>
              </w:rPr>
            </w:pPr>
            <w:r>
              <w:rPr>
                <w:rFonts w:ascii="Cambria" w:eastAsia="Cambria" w:hAnsi="Cambria" w:cs="Cambria"/>
                <w:color w:val="000000"/>
                <w:sz w:val="16"/>
                <w:szCs w:val="16"/>
              </w:rPr>
              <w:t>S2</w:t>
            </w:r>
            <w:r w:rsidR="00EA0137">
              <w:rPr>
                <w:rFonts w:ascii="Cambria" w:eastAsia="Cambria" w:hAnsi="Cambria" w:cs="Cambria"/>
                <w:color w:val="000000"/>
                <w:sz w:val="16"/>
                <w:szCs w:val="16"/>
              </w:rPr>
              <w:t>9</w:t>
            </w:r>
            <w:r w:rsidR="00820861">
              <w:rPr>
                <w:rFonts w:ascii="Cambria" w:eastAsia="Cambria" w:hAnsi="Cambria" w:cs="Cambria"/>
                <w:color w:val="000000"/>
                <w:sz w:val="16"/>
                <w:szCs w:val="16"/>
              </w:rPr>
              <w:t>0</w:t>
            </w:r>
          </w:p>
        </w:tc>
        <w:tc>
          <w:tcPr>
            <w:tcW w:w="2126" w:type="dxa"/>
            <w:shd w:val="clear" w:color="auto" w:fill="E7E6E6"/>
            <w:vAlign w:val="center"/>
          </w:tcPr>
          <w:p w14:paraId="334F6F10"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roofErr w:type="spellStart"/>
            <w:r>
              <w:rPr>
                <w:rFonts w:ascii="Cambria" w:eastAsia="Cambria" w:hAnsi="Cambria" w:cs="Cambria"/>
                <w:b/>
                <w:color w:val="000000"/>
                <w:sz w:val="16"/>
                <w:szCs w:val="16"/>
              </w:rPr>
              <w:t>Pp</w:t>
            </w:r>
            <w:proofErr w:type="spellEnd"/>
            <w:r>
              <w:rPr>
                <w:rFonts w:ascii="Cambria" w:eastAsia="Cambria" w:hAnsi="Cambria" w:cs="Cambria"/>
                <w:b/>
                <w:color w:val="000000"/>
                <w:sz w:val="16"/>
                <w:szCs w:val="16"/>
              </w:rPr>
              <w:t>:</w:t>
            </w:r>
          </w:p>
        </w:tc>
        <w:tc>
          <w:tcPr>
            <w:tcW w:w="4410" w:type="dxa"/>
            <w:gridSpan w:val="4"/>
            <w:shd w:val="clear" w:color="auto" w:fill="E7E6E6"/>
            <w:vAlign w:val="center"/>
          </w:tcPr>
          <w:p w14:paraId="709796A4" w14:textId="79D5F13D" w:rsidR="00CF49B9" w:rsidRDefault="009B2382" w:rsidP="001422F7">
            <w:pPr>
              <w:pBdr>
                <w:top w:val="nil"/>
                <w:left w:val="nil"/>
                <w:bottom w:val="nil"/>
                <w:right w:val="nil"/>
                <w:between w:val="nil"/>
              </w:pBdr>
              <w:spacing w:before="20" w:after="0" w:line="240" w:lineRule="auto"/>
              <w:rPr>
                <w:rFonts w:ascii="Cambria" w:eastAsia="Cambria" w:hAnsi="Cambria" w:cs="Cambria"/>
                <w:i/>
                <w:color w:val="000000"/>
                <w:sz w:val="16"/>
                <w:szCs w:val="16"/>
              </w:rPr>
            </w:pPr>
            <w:r w:rsidRPr="009B2382">
              <w:rPr>
                <w:rFonts w:ascii="Cambria" w:eastAsia="Cambria" w:hAnsi="Cambria" w:cs="Cambria"/>
                <w:color w:val="000000"/>
                <w:sz w:val="16"/>
                <w:szCs w:val="16"/>
              </w:rPr>
              <w:t>Precios de Garantía a Productos Alimentarios Básicos</w:t>
            </w:r>
          </w:p>
        </w:tc>
      </w:tr>
      <w:tr w:rsidR="00CF49B9" w14:paraId="18F56C4E" w14:textId="77777777" w:rsidTr="001422F7">
        <w:trPr>
          <w:trHeight w:val="583"/>
          <w:jc w:val="center"/>
        </w:trPr>
        <w:tc>
          <w:tcPr>
            <w:tcW w:w="2405" w:type="dxa"/>
            <w:gridSpan w:val="2"/>
            <w:shd w:val="clear" w:color="auto" w:fill="auto"/>
            <w:vAlign w:val="center"/>
          </w:tcPr>
          <w:p w14:paraId="458E6107" w14:textId="77777777" w:rsidR="00CF49B9" w:rsidRPr="00C16422" w:rsidRDefault="00CF49B9" w:rsidP="001422F7">
            <w:pPr>
              <w:pBdr>
                <w:top w:val="nil"/>
                <w:left w:val="nil"/>
                <w:bottom w:val="nil"/>
                <w:right w:val="nil"/>
                <w:between w:val="nil"/>
              </w:pBdr>
              <w:spacing w:before="20" w:after="0" w:line="240" w:lineRule="auto"/>
              <w:rPr>
                <w:rFonts w:ascii="Cambria" w:eastAsia="Cambria" w:hAnsi="Cambria" w:cs="Cambria"/>
                <w:b/>
                <w:sz w:val="16"/>
                <w:szCs w:val="16"/>
              </w:rPr>
            </w:pPr>
            <w:r w:rsidRPr="00C16422">
              <w:rPr>
                <w:rFonts w:ascii="Cambria" w:eastAsia="Cambria" w:hAnsi="Cambria" w:cs="Cambria"/>
                <w:b/>
                <w:sz w:val="16"/>
                <w:szCs w:val="16"/>
              </w:rPr>
              <w:t>Unidad Responsable (UR):</w:t>
            </w:r>
          </w:p>
        </w:tc>
        <w:tc>
          <w:tcPr>
            <w:tcW w:w="6536" w:type="dxa"/>
            <w:gridSpan w:val="5"/>
            <w:shd w:val="clear" w:color="auto" w:fill="auto"/>
            <w:vAlign w:val="center"/>
          </w:tcPr>
          <w:p w14:paraId="022D251D" w14:textId="67DF8EFC" w:rsidR="00CF49B9" w:rsidRPr="00C16422" w:rsidRDefault="009B2382" w:rsidP="001422F7">
            <w:pPr>
              <w:pBdr>
                <w:top w:val="nil"/>
                <w:left w:val="nil"/>
                <w:bottom w:val="nil"/>
                <w:right w:val="nil"/>
                <w:between w:val="nil"/>
              </w:pBdr>
              <w:spacing w:before="20" w:after="0" w:line="240" w:lineRule="auto"/>
              <w:rPr>
                <w:rFonts w:ascii="Cambria" w:eastAsia="Cambria" w:hAnsi="Cambria" w:cs="Cambria"/>
                <w:sz w:val="16"/>
                <w:szCs w:val="16"/>
                <w:highlight w:val="yellow"/>
              </w:rPr>
            </w:pPr>
            <w:r>
              <w:rPr>
                <w:rFonts w:ascii="Cambria" w:eastAsia="Cambria" w:hAnsi="Cambria" w:cs="Cambria"/>
                <w:sz w:val="16"/>
                <w:szCs w:val="16"/>
              </w:rPr>
              <w:t>Dirección</w:t>
            </w:r>
            <w:r w:rsidR="00820861" w:rsidRPr="00820861">
              <w:rPr>
                <w:rFonts w:ascii="Cambria" w:eastAsia="Cambria" w:hAnsi="Cambria" w:cs="Cambria"/>
                <w:sz w:val="16"/>
                <w:szCs w:val="16"/>
              </w:rPr>
              <w:t xml:space="preserve"> de Precios de Garantía y </w:t>
            </w:r>
            <w:r w:rsidR="00820861">
              <w:rPr>
                <w:rFonts w:ascii="Cambria" w:eastAsia="Cambria" w:hAnsi="Cambria" w:cs="Cambria"/>
                <w:sz w:val="16"/>
                <w:szCs w:val="16"/>
              </w:rPr>
              <w:t>Estímulos, Seguridad Alimentaria Mexicana (</w:t>
            </w:r>
            <w:proofErr w:type="spellStart"/>
            <w:r w:rsidR="00820861">
              <w:rPr>
                <w:rFonts w:ascii="Cambria" w:eastAsia="Cambria" w:hAnsi="Cambria" w:cs="Cambria"/>
                <w:sz w:val="16"/>
                <w:szCs w:val="16"/>
              </w:rPr>
              <w:t>Segalmex</w:t>
            </w:r>
            <w:proofErr w:type="spellEnd"/>
            <w:r w:rsidR="00820861">
              <w:rPr>
                <w:rFonts w:ascii="Cambria" w:eastAsia="Cambria" w:hAnsi="Cambria" w:cs="Cambria"/>
                <w:sz w:val="16"/>
                <w:szCs w:val="16"/>
              </w:rPr>
              <w:t>)</w:t>
            </w:r>
          </w:p>
        </w:tc>
      </w:tr>
      <w:tr w:rsidR="00CF49B9" w14:paraId="6E149FBC" w14:textId="77777777" w:rsidTr="001422F7">
        <w:trPr>
          <w:trHeight w:val="583"/>
          <w:jc w:val="center"/>
        </w:trPr>
        <w:tc>
          <w:tcPr>
            <w:tcW w:w="2405" w:type="dxa"/>
            <w:gridSpan w:val="2"/>
            <w:shd w:val="clear" w:color="auto" w:fill="auto"/>
            <w:vAlign w:val="center"/>
          </w:tcPr>
          <w:p w14:paraId="1A48AA9B" w14:textId="77777777" w:rsidR="00CF49B9" w:rsidRPr="00B23A0A"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sidRPr="00B23A0A">
              <w:rPr>
                <w:rFonts w:ascii="Cambria" w:eastAsia="Cambria" w:hAnsi="Cambria" w:cs="Cambria"/>
                <w:b/>
                <w:color w:val="000000"/>
                <w:sz w:val="16"/>
                <w:szCs w:val="16"/>
              </w:rPr>
              <w:t xml:space="preserve">Área de Evaluación de la dependencia (AE):  </w:t>
            </w:r>
          </w:p>
        </w:tc>
        <w:tc>
          <w:tcPr>
            <w:tcW w:w="6536" w:type="dxa"/>
            <w:gridSpan w:val="5"/>
            <w:shd w:val="clear" w:color="auto" w:fill="auto"/>
            <w:vAlign w:val="center"/>
          </w:tcPr>
          <w:p w14:paraId="70C5C49D" w14:textId="2F0255C5" w:rsidR="00CF49B9" w:rsidRPr="00B23A0A" w:rsidRDefault="00EA0137" w:rsidP="00770106">
            <w:pPr>
              <w:pBdr>
                <w:top w:val="nil"/>
                <w:left w:val="nil"/>
                <w:bottom w:val="nil"/>
                <w:right w:val="nil"/>
                <w:between w:val="nil"/>
              </w:pBdr>
              <w:spacing w:before="20" w:after="0" w:line="240" w:lineRule="auto"/>
              <w:rPr>
                <w:rFonts w:ascii="Cambria" w:eastAsia="Cambria" w:hAnsi="Cambria" w:cs="Cambria"/>
                <w:color w:val="000000"/>
                <w:sz w:val="16"/>
                <w:szCs w:val="16"/>
              </w:rPr>
            </w:pPr>
            <w:r w:rsidRPr="00EA0137">
              <w:rPr>
                <w:rFonts w:ascii="Cambria" w:eastAsia="Cambria" w:hAnsi="Cambria" w:cs="Cambria"/>
                <w:color w:val="000000"/>
                <w:sz w:val="16"/>
                <w:szCs w:val="16"/>
              </w:rPr>
              <w:t>Dirección General de Supervisión, Evaluación y Rendición de Cuentas</w:t>
            </w:r>
          </w:p>
        </w:tc>
      </w:tr>
      <w:tr w:rsidR="00CF49B9" w14:paraId="02685FF9" w14:textId="77777777" w:rsidTr="001422F7">
        <w:trPr>
          <w:trHeight w:val="317"/>
          <w:jc w:val="center"/>
        </w:trPr>
        <w:tc>
          <w:tcPr>
            <w:tcW w:w="2405" w:type="dxa"/>
            <w:gridSpan w:val="2"/>
            <w:vMerge w:val="restart"/>
            <w:shd w:val="clear" w:color="auto" w:fill="E7E6E6"/>
            <w:vAlign w:val="center"/>
          </w:tcPr>
          <w:p w14:paraId="2840F44C"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Instancia Evaluadora (IE): </w:t>
            </w:r>
          </w:p>
        </w:tc>
        <w:tc>
          <w:tcPr>
            <w:tcW w:w="2126" w:type="dxa"/>
            <w:shd w:val="clear" w:color="auto" w:fill="E7E6E6"/>
            <w:vAlign w:val="center"/>
          </w:tcPr>
          <w:p w14:paraId="5EE8CAF8"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 xml:space="preserve">Denominación: </w:t>
            </w:r>
          </w:p>
        </w:tc>
        <w:tc>
          <w:tcPr>
            <w:tcW w:w="4410" w:type="dxa"/>
            <w:gridSpan w:val="4"/>
            <w:shd w:val="clear" w:color="auto" w:fill="E7E6E6"/>
            <w:vAlign w:val="center"/>
          </w:tcPr>
          <w:p w14:paraId="23BF7140" w14:textId="02E786F0" w:rsidR="00CF49B9" w:rsidRDefault="007954FF" w:rsidP="001422F7">
            <w:pPr>
              <w:pBdr>
                <w:top w:val="nil"/>
                <w:left w:val="nil"/>
                <w:bottom w:val="nil"/>
                <w:right w:val="nil"/>
                <w:between w:val="nil"/>
              </w:pBdr>
              <w:spacing w:after="0" w:line="240" w:lineRule="auto"/>
              <w:rPr>
                <w:rFonts w:ascii="Soberana Sans" w:eastAsia="Soberana Sans" w:hAnsi="Soberana Sans" w:cs="Soberana Sans"/>
                <w:color w:val="000000"/>
                <w:sz w:val="12"/>
                <w:szCs w:val="12"/>
              </w:rPr>
            </w:pPr>
            <w:r w:rsidRPr="007954FF">
              <w:rPr>
                <w:rFonts w:ascii="Cambria" w:eastAsia="Cambria" w:hAnsi="Cambria" w:cs="Cambria"/>
                <w:color w:val="000000"/>
                <w:sz w:val="16"/>
                <w:szCs w:val="16"/>
              </w:rPr>
              <w:t>Universidad Autónoma Chapingo</w:t>
            </w:r>
          </w:p>
        </w:tc>
      </w:tr>
      <w:tr w:rsidR="00CF49B9" w14:paraId="339EC670" w14:textId="77777777" w:rsidTr="001422F7">
        <w:trPr>
          <w:trHeight w:val="293"/>
          <w:jc w:val="center"/>
        </w:trPr>
        <w:tc>
          <w:tcPr>
            <w:tcW w:w="2405" w:type="dxa"/>
            <w:gridSpan w:val="2"/>
            <w:vMerge/>
            <w:shd w:val="clear" w:color="auto" w:fill="E7E6E6"/>
            <w:vAlign w:val="center"/>
          </w:tcPr>
          <w:p w14:paraId="79367E03" w14:textId="77777777" w:rsidR="00CF49B9" w:rsidRDefault="00CF49B9" w:rsidP="001422F7">
            <w:pPr>
              <w:widowControl w:val="0"/>
              <w:pBdr>
                <w:top w:val="nil"/>
                <w:left w:val="nil"/>
                <w:bottom w:val="nil"/>
                <w:right w:val="nil"/>
                <w:between w:val="nil"/>
              </w:pBdr>
              <w:spacing w:after="0"/>
              <w:rPr>
                <w:rFonts w:ascii="Soberana Sans" w:eastAsia="Soberana Sans" w:hAnsi="Soberana Sans" w:cs="Soberana Sans"/>
                <w:color w:val="000000"/>
                <w:sz w:val="12"/>
                <w:szCs w:val="12"/>
              </w:rPr>
            </w:pPr>
          </w:p>
        </w:tc>
        <w:tc>
          <w:tcPr>
            <w:tcW w:w="2126" w:type="dxa"/>
            <w:shd w:val="clear" w:color="auto" w:fill="E7E6E6"/>
            <w:vAlign w:val="center"/>
          </w:tcPr>
          <w:p w14:paraId="3A8D3FE4"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Coordinador(a):</w:t>
            </w:r>
          </w:p>
        </w:tc>
        <w:tc>
          <w:tcPr>
            <w:tcW w:w="4410" w:type="dxa"/>
            <w:gridSpan w:val="4"/>
            <w:shd w:val="clear" w:color="auto" w:fill="E7E6E6"/>
            <w:vAlign w:val="center"/>
          </w:tcPr>
          <w:p w14:paraId="57D8CF8A" w14:textId="220093AE" w:rsidR="00CF49B9" w:rsidRPr="000A3C98" w:rsidRDefault="007954FF" w:rsidP="001422F7">
            <w:pPr>
              <w:pBdr>
                <w:top w:val="nil"/>
                <w:left w:val="nil"/>
                <w:bottom w:val="nil"/>
                <w:right w:val="nil"/>
                <w:between w:val="nil"/>
              </w:pBdr>
              <w:spacing w:after="0" w:line="240" w:lineRule="auto"/>
              <w:rPr>
                <w:rFonts w:ascii="Cambria" w:eastAsia="Cambria" w:hAnsi="Cambria" w:cs="Cambria"/>
                <w:iCs/>
                <w:color w:val="000000"/>
                <w:sz w:val="16"/>
                <w:szCs w:val="16"/>
              </w:rPr>
            </w:pPr>
            <w:r w:rsidRPr="000A3C98">
              <w:rPr>
                <w:rFonts w:ascii="Cambria" w:eastAsia="Cambria" w:hAnsi="Cambria" w:cs="Cambria"/>
                <w:iCs/>
                <w:color w:val="000000"/>
                <w:sz w:val="16"/>
                <w:szCs w:val="16"/>
              </w:rPr>
              <w:t>Norman Aguilar Gallegos</w:t>
            </w:r>
          </w:p>
        </w:tc>
      </w:tr>
      <w:tr w:rsidR="00CF49B9" w14:paraId="4BEB9A2E" w14:textId="77777777" w:rsidTr="001422F7">
        <w:trPr>
          <w:trHeight w:val="397"/>
          <w:jc w:val="center"/>
        </w:trPr>
        <w:tc>
          <w:tcPr>
            <w:tcW w:w="2405" w:type="dxa"/>
            <w:gridSpan w:val="2"/>
            <w:vMerge/>
            <w:shd w:val="clear" w:color="auto" w:fill="E7E6E6"/>
            <w:vAlign w:val="center"/>
          </w:tcPr>
          <w:p w14:paraId="6D2F8057" w14:textId="77777777" w:rsidR="00CF49B9" w:rsidRDefault="00CF49B9" w:rsidP="001422F7">
            <w:pPr>
              <w:widowControl w:val="0"/>
              <w:pBdr>
                <w:top w:val="nil"/>
                <w:left w:val="nil"/>
                <w:bottom w:val="nil"/>
                <w:right w:val="nil"/>
                <w:between w:val="nil"/>
              </w:pBdr>
              <w:spacing w:after="0"/>
              <w:rPr>
                <w:rFonts w:ascii="Cambria" w:eastAsia="Cambria" w:hAnsi="Cambria" w:cs="Cambria"/>
                <w:color w:val="000000"/>
                <w:sz w:val="16"/>
                <w:szCs w:val="16"/>
              </w:rPr>
            </w:pPr>
          </w:p>
        </w:tc>
        <w:tc>
          <w:tcPr>
            <w:tcW w:w="2126" w:type="dxa"/>
            <w:shd w:val="clear" w:color="auto" w:fill="E7E6E6"/>
            <w:vAlign w:val="center"/>
          </w:tcPr>
          <w:p w14:paraId="525B78A6"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Colaboradores(as):</w:t>
            </w:r>
          </w:p>
        </w:tc>
        <w:tc>
          <w:tcPr>
            <w:tcW w:w="4410" w:type="dxa"/>
            <w:gridSpan w:val="4"/>
            <w:shd w:val="clear" w:color="auto" w:fill="E7E6E6"/>
            <w:vAlign w:val="center"/>
          </w:tcPr>
          <w:p w14:paraId="2748D417" w14:textId="6210A820" w:rsidR="0088018A" w:rsidRPr="0088018A" w:rsidRDefault="0088018A" w:rsidP="0088018A">
            <w:pPr>
              <w:pBdr>
                <w:top w:val="nil"/>
                <w:left w:val="nil"/>
                <w:bottom w:val="nil"/>
                <w:right w:val="nil"/>
                <w:between w:val="nil"/>
              </w:pBdr>
              <w:spacing w:after="0" w:line="240" w:lineRule="auto"/>
              <w:rPr>
                <w:rFonts w:ascii="Cambria" w:eastAsia="Cambria" w:hAnsi="Cambria" w:cs="Cambria"/>
                <w:iCs/>
                <w:color w:val="000000"/>
                <w:sz w:val="16"/>
                <w:szCs w:val="16"/>
              </w:rPr>
            </w:pPr>
            <w:r w:rsidRPr="0088018A">
              <w:rPr>
                <w:rFonts w:ascii="Cambria" w:eastAsia="Cambria" w:hAnsi="Cambria" w:cs="Cambria"/>
                <w:iCs/>
                <w:color w:val="000000"/>
                <w:sz w:val="16"/>
                <w:szCs w:val="16"/>
              </w:rPr>
              <w:t>J Reyes Altamirano Cárdenas</w:t>
            </w:r>
          </w:p>
          <w:p w14:paraId="2FFD3D3D" w14:textId="2D9FB22D" w:rsidR="0088018A" w:rsidRPr="0088018A" w:rsidRDefault="0088018A" w:rsidP="0088018A">
            <w:pPr>
              <w:pBdr>
                <w:top w:val="nil"/>
                <w:left w:val="nil"/>
                <w:bottom w:val="nil"/>
                <w:right w:val="nil"/>
                <w:between w:val="nil"/>
              </w:pBdr>
              <w:spacing w:after="0" w:line="240" w:lineRule="auto"/>
              <w:rPr>
                <w:rFonts w:ascii="Cambria" w:eastAsia="Cambria" w:hAnsi="Cambria" w:cs="Cambria"/>
                <w:iCs/>
                <w:color w:val="000000"/>
                <w:sz w:val="16"/>
                <w:szCs w:val="16"/>
              </w:rPr>
            </w:pPr>
            <w:r w:rsidRPr="0088018A">
              <w:rPr>
                <w:rFonts w:ascii="Cambria" w:eastAsia="Cambria" w:hAnsi="Cambria" w:cs="Cambria"/>
                <w:iCs/>
                <w:color w:val="000000"/>
                <w:sz w:val="16"/>
                <w:szCs w:val="16"/>
              </w:rPr>
              <w:t>Pilar Lourdes Guerrero Ortiz</w:t>
            </w:r>
          </w:p>
          <w:p w14:paraId="2123208F" w14:textId="50ED3CF6" w:rsidR="0088018A" w:rsidRPr="0088018A" w:rsidRDefault="0088018A" w:rsidP="0088018A">
            <w:pPr>
              <w:pBdr>
                <w:top w:val="nil"/>
                <w:left w:val="nil"/>
                <w:bottom w:val="nil"/>
                <w:right w:val="nil"/>
                <w:between w:val="nil"/>
              </w:pBdr>
              <w:spacing w:after="0" w:line="240" w:lineRule="auto"/>
              <w:rPr>
                <w:rFonts w:ascii="Cambria" w:eastAsia="Cambria" w:hAnsi="Cambria" w:cs="Cambria"/>
                <w:iCs/>
                <w:color w:val="000000"/>
                <w:sz w:val="16"/>
                <w:szCs w:val="16"/>
              </w:rPr>
            </w:pPr>
            <w:r w:rsidRPr="0088018A">
              <w:rPr>
                <w:rFonts w:ascii="Cambria" w:eastAsia="Cambria" w:hAnsi="Cambria" w:cs="Cambria"/>
                <w:iCs/>
                <w:color w:val="000000"/>
                <w:sz w:val="16"/>
                <w:szCs w:val="16"/>
              </w:rPr>
              <w:t>María Guadalupe González Ramírez</w:t>
            </w:r>
          </w:p>
          <w:p w14:paraId="5BA4C7CB" w14:textId="0DC8C8BA" w:rsidR="0088018A" w:rsidRPr="0088018A" w:rsidRDefault="0088018A" w:rsidP="0088018A">
            <w:pPr>
              <w:pBdr>
                <w:top w:val="nil"/>
                <w:left w:val="nil"/>
                <w:bottom w:val="nil"/>
                <w:right w:val="nil"/>
                <w:between w:val="nil"/>
              </w:pBdr>
              <w:spacing w:after="0" w:line="240" w:lineRule="auto"/>
              <w:rPr>
                <w:rFonts w:ascii="Cambria" w:eastAsia="Cambria" w:hAnsi="Cambria" w:cs="Cambria"/>
                <w:iCs/>
                <w:color w:val="000000"/>
                <w:sz w:val="16"/>
                <w:szCs w:val="16"/>
              </w:rPr>
            </w:pPr>
            <w:r w:rsidRPr="0088018A">
              <w:rPr>
                <w:rFonts w:ascii="Cambria" w:eastAsia="Cambria" w:hAnsi="Cambria" w:cs="Cambria"/>
                <w:iCs/>
                <w:color w:val="000000"/>
                <w:sz w:val="16"/>
                <w:szCs w:val="16"/>
              </w:rPr>
              <w:t>Fermín Sandoval Romero</w:t>
            </w:r>
          </w:p>
          <w:p w14:paraId="5B919947" w14:textId="4D112FA9" w:rsidR="0088018A" w:rsidRPr="0088018A" w:rsidRDefault="0088018A" w:rsidP="0088018A">
            <w:pPr>
              <w:pBdr>
                <w:top w:val="nil"/>
                <w:left w:val="nil"/>
                <w:bottom w:val="nil"/>
                <w:right w:val="nil"/>
                <w:between w:val="nil"/>
              </w:pBdr>
              <w:spacing w:after="0" w:line="240" w:lineRule="auto"/>
              <w:rPr>
                <w:rFonts w:ascii="Cambria" w:eastAsia="Cambria" w:hAnsi="Cambria" w:cs="Cambria"/>
                <w:iCs/>
                <w:color w:val="000000"/>
                <w:sz w:val="16"/>
                <w:szCs w:val="16"/>
              </w:rPr>
            </w:pPr>
            <w:r w:rsidRPr="0088018A">
              <w:rPr>
                <w:rFonts w:ascii="Cambria" w:eastAsia="Cambria" w:hAnsi="Cambria" w:cs="Cambria"/>
                <w:iCs/>
                <w:color w:val="000000"/>
                <w:sz w:val="16"/>
                <w:szCs w:val="16"/>
              </w:rPr>
              <w:t>María de los Ángeles Romero García</w:t>
            </w:r>
          </w:p>
          <w:p w14:paraId="1A3059A4" w14:textId="2347257C" w:rsidR="00CF49B9" w:rsidRPr="000A3C98" w:rsidRDefault="0088018A" w:rsidP="0088018A">
            <w:pPr>
              <w:pBdr>
                <w:top w:val="nil"/>
                <w:left w:val="nil"/>
                <w:bottom w:val="nil"/>
                <w:right w:val="nil"/>
                <w:between w:val="nil"/>
              </w:pBdr>
              <w:spacing w:after="0" w:line="240" w:lineRule="auto"/>
              <w:rPr>
                <w:rFonts w:ascii="Cambria" w:eastAsia="Cambria" w:hAnsi="Cambria" w:cs="Cambria"/>
                <w:iCs/>
                <w:color w:val="000000"/>
                <w:sz w:val="16"/>
                <w:szCs w:val="16"/>
              </w:rPr>
            </w:pPr>
            <w:r w:rsidRPr="0088018A">
              <w:rPr>
                <w:rFonts w:ascii="Cambria" w:eastAsia="Cambria" w:hAnsi="Cambria" w:cs="Cambria"/>
                <w:iCs/>
                <w:color w:val="000000"/>
                <w:sz w:val="16"/>
                <w:szCs w:val="16"/>
              </w:rPr>
              <w:t>Néstor Rafael Manjarrez Martínez</w:t>
            </w:r>
          </w:p>
        </w:tc>
      </w:tr>
      <w:tr w:rsidR="00CF49B9" w14:paraId="3A9D2D4E" w14:textId="77777777" w:rsidTr="001422F7">
        <w:trPr>
          <w:trHeight w:val="583"/>
          <w:jc w:val="center"/>
        </w:trPr>
        <w:tc>
          <w:tcPr>
            <w:tcW w:w="2405" w:type="dxa"/>
            <w:gridSpan w:val="2"/>
            <w:shd w:val="clear" w:color="auto" w:fill="auto"/>
            <w:vAlign w:val="center"/>
          </w:tcPr>
          <w:p w14:paraId="2886B9FE"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Procedimiento de contratación:</w:t>
            </w:r>
          </w:p>
        </w:tc>
        <w:tc>
          <w:tcPr>
            <w:tcW w:w="2126" w:type="dxa"/>
            <w:shd w:val="clear" w:color="auto" w:fill="auto"/>
            <w:vAlign w:val="center"/>
          </w:tcPr>
          <w:p w14:paraId="539A1299" w14:textId="4545C10B"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Licitación Pública Nacional</w:t>
            </w:r>
            <w:r w:rsidR="000A3C98">
              <w:rPr>
                <w:rFonts w:ascii="Cambria" w:eastAsia="Cambria" w:hAnsi="Cambria" w:cs="Cambria"/>
                <w:color w:val="000000"/>
                <w:sz w:val="16"/>
                <w:szCs w:val="16"/>
              </w:rPr>
              <w:t xml:space="preserve"> Electrónica</w:t>
            </w:r>
          </w:p>
        </w:tc>
        <w:tc>
          <w:tcPr>
            <w:tcW w:w="2144" w:type="dxa"/>
            <w:gridSpan w:val="2"/>
            <w:shd w:val="clear" w:color="auto" w:fill="auto"/>
            <w:vAlign w:val="center"/>
          </w:tcPr>
          <w:p w14:paraId="58C862CE"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Costo de la evaluación:</w:t>
            </w:r>
          </w:p>
        </w:tc>
        <w:tc>
          <w:tcPr>
            <w:tcW w:w="2266" w:type="dxa"/>
            <w:gridSpan w:val="2"/>
            <w:shd w:val="clear" w:color="auto" w:fill="auto"/>
            <w:vAlign w:val="center"/>
          </w:tcPr>
          <w:p w14:paraId="354134CE" w14:textId="77777777"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$3,977,640.00 (Tres millones novecientos setenta y siete mil seiscientos cuarenta pesos 00/100 M.N.)</w:t>
            </w:r>
          </w:p>
          <w:p w14:paraId="1A834FE8" w14:textId="4549669D" w:rsidR="007954FF"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Costo total del proyecto “Evaluación de procesos a tres programas prioritarios de apoyos al campo”, dentro del cual se realizó esta evaluación.</w:t>
            </w:r>
          </w:p>
        </w:tc>
      </w:tr>
      <w:tr w:rsidR="00CF49B9" w14:paraId="7BB3E56C" w14:textId="77777777" w:rsidTr="001422F7">
        <w:trPr>
          <w:trHeight w:val="583"/>
          <w:jc w:val="center"/>
        </w:trPr>
        <w:tc>
          <w:tcPr>
            <w:tcW w:w="2405" w:type="dxa"/>
            <w:gridSpan w:val="2"/>
            <w:shd w:val="clear" w:color="auto" w:fill="auto"/>
            <w:vAlign w:val="center"/>
          </w:tcPr>
          <w:p w14:paraId="3ADFE1C1"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Tipo de contratación:</w:t>
            </w:r>
          </w:p>
        </w:tc>
        <w:tc>
          <w:tcPr>
            <w:tcW w:w="2126" w:type="dxa"/>
            <w:shd w:val="clear" w:color="auto" w:fill="auto"/>
            <w:vAlign w:val="center"/>
          </w:tcPr>
          <w:p w14:paraId="39E4697A" w14:textId="00FE80FE" w:rsidR="00CF49B9"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Individual</w:t>
            </w:r>
          </w:p>
        </w:tc>
        <w:tc>
          <w:tcPr>
            <w:tcW w:w="2144" w:type="dxa"/>
            <w:gridSpan w:val="2"/>
            <w:shd w:val="clear" w:color="auto" w:fill="auto"/>
            <w:vAlign w:val="center"/>
          </w:tcPr>
          <w:p w14:paraId="0AAF4849" w14:textId="77777777" w:rsidR="00CF49B9" w:rsidRDefault="00CF49B9" w:rsidP="001422F7">
            <w:pPr>
              <w:pBdr>
                <w:top w:val="nil"/>
                <w:left w:val="nil"/>
                <w:bottom w:val="nil"/>
                <w:right w:val="nil"/>
                <w:between w:val="nil"/>
              </w:pBdr>
              <w:spacing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Fuente de financiamiento:</w:t>
            </w:r>
          </w:p>
        </w:tc>
        <w:tc>
          <w:tcPr>
            <w:tcW w:w="2266" w:type="dxa"/>
            <w:gridSpan w:val="2"/>
            <w:shd w:val="clear" w:color="auto" w:fill="auto"/>
            <w:vAlign w:val="center"/>
          </w:tcPr>
          <w:p w14:paraId="235F59D0" w14:textId="77777777" w:rsidR="000A3C98" w:rsidRDefault="000A3C98"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 xml:space="preserve">Recursos federales </w:t>
            </w:r>
          </w:p>
          <w:p w14:paraId="0174DFA1" w14:textId="38FB7FB7"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sidRPr="007954FF">
              <w:rPr>
                <w:rFonts w:ascii="Cambria" w:eastAsia="Cambria" w:hAnsi="Cambria" w:cs="Cambria"/>
                <w:color w:val="000000"/>
                <w:sz w:val="16"/>
                <w:szCs w:val="16"/>
              </w:rPr>
              <w:t>Partida presupuestal 33501 “Estudios e investigaciones”</w:t>
            </w:r>
          </w:p>
        </w:tc>
      </w:tr>
      <w:tr w:rsidR="00CF49B9" w14:paraId="007C6984" w14:textId="77777777" w:rsidTr="001422F7">
        <w:trPr>
          <w:trHeight w:val="583"/>
          <w:jc w:val="center"/>
        </w:trPr>
        <w:tc>
          <w:tcPr>
            <w:tcW w:w="2405" w:type="dxa"/>
            <w:gridSpan w:val="2"/>
            <w:shd w:val="clear" w:color="auto" w:fill="D9D9D9"/>
            <w:vAlign w:val="center"/>
          </w:tcPr>
          <w:p w14:paraId="3F755A72" w14:textId="77777777" w:rsidR="00CF49B9" w:rsidRDefault="00CF49B9" w:rsidP="001422F7">
            <w:pPr>
              <w:pBdr>
                <w:top w:val="nil"/>
                <w:left w:val="nil"/>
                <w:bottom w:val="nil"/>
                <w:right w:val="nil"/>
                <w:between w:val="nil"/>
              </w:pBdr>
              <w:spacing w:before="20" w:after="0" w:line="240" w:lineRule="auto"/>
              <w:rPr>
                <w:rFonts w:ascii="Cambria" w:eastAsia="Cambria" w:hAnsi="Cambria" w:cs="Cambria"/>
                <w:b/>
                <w:color w:val="000000"/>
                <w:sz w:val="16"/>
                <w:szCs w:val="16"/>
              </w:rPr>
            </w:pPr>
            <w:r>
              <w:rPr>
                <w:rFonts w:ascii="Cambria" w:eastAsia="Cambria" w:hAnsi="Cambria" w:cs="Cambria"/>
                <w:b/>
                <w:color w:val="000000"/>
                <w:sz w:val="16"/>
                <w:szCs w:val="16"/>
              </w:rPr>
              <w:t>Instancia de coordinación de la evaluación:</w:t>
            </w:r>
          </w:p>
        </w:tc>
        <w:tc>
          <w:tcPr>
            <w:tcW w:w="6536" w:type="dxa"/>
            <w:gridSpan w:val="5"/>
            <w:shd w:val="clear" w:color="auto" w:fill="D9D9D9"/>
            <w:vAlign w:val="center"/>
          </w:tcPr>
          <w:p w14:paraId="141B9053" w14:textId="152DE639" w:rsidR="00CF49B9" w:rsidRDefault="007954FF" w:rsidP="001422F7">
            <w:pPr>
              <w:pBdr>
                <w:top w:val="nil"/>
                <w:left w:val="nil"/>
                <w:bottom w:val="nil"/>
                <w:right w:val="nil"/>
                <w:between w:val="nil"/>
              </w:pBdr>
              <w:spacing w:after="0" w:line="240" w:lineRule="auto"/>
              <w:rPr>
                <w:rFonts w:ascii="Cambria" w:eastAsia="Cambria" w:hAnsi="Cambria" w:cs="Cambria"/>
                <w:color w:val="000000"/>
                <w:sz w:val="16"/>
                <w:szCs w:val="16"/>
              </w:rPr>
            </w:pPr>
            <w:r>
              <w:rPr>
                <w:rFonts w:ascii="Cambria" w:eastAsia="Cambria" w:hAnsi="Cambria" w:cs="Cambria"/>
                <w:color w:val="000000"/>
                <w:sz w:val="16"/>
                <w:szCs w:val="16"/>
              </w:rPr>
              <w:t>Consejo Nacional de Evaluación de la Política de Desarrollo Social (CONEVAL)</w:t>
            </w:r>
          </w:p>
        </w:tc>
      </w:tr>
    </w:tbl>
    <w:p w14:paraId="3FE8AA9F" w14:textId="77777777" w:rsidR="00CF49B9" w:rsidRDefault="00CF49B9" w:rsidP="00CF49B9">
      <w:pPr>
        <w:jc w:val="both"/>
        <w:rPr>
          <w:rFonts w:ascii="Cambria" w:eastAsia="Cambria" w:hAnsi="Cambria" w:cs="Cambria"/>
        </w:rPr>
      </w:pPr>
    </w:p>
    <w:p w14:paraId="5BE65C0B" w14:textId="0D33803C" w:rsidR="00CF49B9" w:rsidRDefault="00CF49B9" w:rsidP="00CF49B9">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Descripción del Programa</w:t>
      </w:r>
      <w:r w:rsidR="000A3C98">
        <w:rPr>
          <w:rFonts w:ascii="Cambria" w:eastAsia="Cambria" w:hAnsi="Cambria" w:cs="Cambria"/>
          <w:b/>
          <w:color w:val="000000"/>
        </w:rPr>
        <w:t xml:space="preserve"> </w:t>
      </w:r>
    </w:p>
    <w:p w14:paraId="6BEDB8EE" w14:textId="374EC74E" w:rsidR="0088018A" w:rsidRDefault="0088018A" w:rsidP="0088018A">
      <w:pPr>
        <w:pBdr>
          <w:top w:val="nil"/>
          <w:left w:val="nil"/>
          <w:bottom w:val="nil"/>
          <w:right w:val="nil"/>
          <w:between w:val="nil"/>
        </w:pBdr>
        <w:spacing w:after="120" w:line="240" w:lineRule="auto"/>
        <w:jc w:val="both"/>
        <w:rPr>
          <w:rFonts w:ascii="Cambria" w:eastAsia="Cambria" w:hAnsi="Cambria" w:cs="Cambria"/>
          <w:color w:val="000000"/>
        </w:rPr>
      </w:pPr>
      <w:r w:rsidRPr="000A3C98">
        <w:rPr>
          <w:rFonts w:ascii="Cambria" w:eastAsia="Cambria" w:hAnsi="Cambria" w:cs="Cambria"/>
          <w:color w:val="000000"/>
        </w:rPr>
        <w:t>El programa inició su operación en 2019 y, de acuerdo con su normatividad</w:t>
      </w:r>
      <w:r>
        <w:rPr>
          <w:rFonts w:ascii="Cambria" w:eastAsia="Cambria" w:hAnsi="Cambria" w:cs="Cambria"/>
          <w:color w:val="000000"/>
        </w:rPr>
        <w:t>,</w:t>
      </w:r>
      <w:r w:rsidRPr="000A3C98">
        <w:rPr>
          <w:rFonts w:ascii="Cambria" w:eastAsia="Cambria" w:hAnsi="Cambria" w:cs="Cambria"/>
          <w:color w:val="000000"/>
        </w:rPr>
        <w:t xml:space="preserve"> </w:t>
      </w:r>
      <w:r w:rsidRPr="0088018A">
        <w:rPr>
          <w:rFonts w:ascii="Cambria" w:eastAsia="Cambria" w:hAnsi="Cambria" w:cs="Cambria"/>
          <w:color w:val="000000"/>
        </w:rPr>
        <w:t>tiene como objetivo</w:t>
      </w:r>
      <w:r>
        <w:rPr>
          <w:rFonts w:ascii="Cambria" w:eastAsia="Cambria" w:hAnsi="Cambria" w:cs="Cambria"/>
          <w:color w:val="000000"/>
        </w:rPr>
        <w:t xml:space="preserve"> </w:t>
      </w:r>
      <w:r w:rsidRPr="0088018A">
        <w:rPr>
          <w:rFonts w:ascii="Cambria" w:eastAsia="Cambria" w:hAnsi="Cambria" w:cs="Cambria"/>
          <w:color w:val="000000"/>
        </w:rPr>
        <w:t>complementar el ingreso de los pequeños y medianos productores de granos básicos (arroz, frijol,</w:t>
      </w:r>
      <w:r>
        <w:rPr>
          <w:rFonts w:ascii="Cambria" w:eastAsia="Cambria" w:hAnsi="Cambria" w:cs="Cambria"/>
          <w:color w:val="000000"/>
        </w:rPr>
        <w:t xml:space="preserve"> </w:t>
      </w:r>
      <w:r w:rsidRPr="0088018A">
        <w:rPr>
          <w:rFonts w:ascii="Cambria" w:eastAsia="Cambria" w:hAnsi="Cambria" w:cs="Cambria"/>
          <w:color w:val="000000"/>
        </w:rPr>
        <w:t>maíz y trigo) y leche, a través de la implementación de precios de garantía. Para ello, cuenta con dos</w:t>
      </w:r>
      <w:r>
        <w:rPr>
          <w:rFonts w:ascii="Cambria" w:eastAsia="Cambria" w:hAnsi="Cambria" w:cs="Cambria"/>
          <w:color w:val="000000"/>
        </w:rPr>
        <w:t xml:space="preserve"> </w:t>
      </w:r>
      <w:r w:rsidRPr="0088018A">
        <w:rPr>
          <w:rFonts w:ascii="Cambria" w:eastAsia="Cambria" w:hAnsi="Cambria" w:cs="Cambria"/>
          <w:color w:val="000000"/>
        </w:rPr>
        <w:t>tipos de apoyos:</w:t>
      </w:r>
      <w:r>
        <w:rPr>
          <w:rFonts w:ascii="Cambria" w:eastAsia="Cambria" w:hAnsi="Cambria" w:cs="Cambria"/>
          <w:color w:val="000000"/>
        </w:rPr>
        <w:t xml:space="preserve"> a)</w:t>
      </w:r>
      <w:r w:rsidRPr="0088018A">
        <w:rPr>
          <w:rFonts w:ascii="Cambria" w:eastAsia="Cambria" w:hAnsi="Cambria" w:cs="Cambria"/>
          <w:color w:val="000000"/>
        </w:rPr>
        <w:t xml:space="preserve"> Apoyo Precios de Garantía a pequeños productores de granos (maíz y frijol) y leche, los</w:t>
      </w:r>
      <w:r>
        <w:rPr>
          <w:rFonts w:ascii="Cambria" w:eastAsia="Cambria" w:hAnsi="Cambria" w:cs="Cambria"/>
          <w:color w:val="000000"/>
        </w:rPr>
        <w:t xml:space="preserve"> </w:t>
      </w:r>
      <w:r w:rsidRPr="0088018A">
        <w:rPr>
          <w:rFonts w:ascii="Cambria" w:eastAsia="Cambria" w:hAnsi="Cambria" w:cs="Cambria"/>
          <w:color w:val="000000"/>
        </w:rPr>
        <w:t>cuales son acopiados en las bodegas operadas por Seguridad Alimentaria Mexicana</w:t>
      </w:r>
      <w:r>
        <w:rPr>
          <w:rFonts w:ascii="Cambria" w:eastAsia="Cambria" w:hAnsi="Cambria" w:cs="Cambria"/>
          <w:color w:val="000000"/>
        </w:rPr>
        <w:t xml:space="preserve"> </w:t>
      </w:r>
      <w:r w:rsidRPr="0088018A">
        <w:rPr>
          <w:rFonts w:ascii="Cambria" w:eastAsia="Cambria" w:hAnsi="Cambria" w:cs="Cambria"/>
          <w:color w:val="000000"/>
        </w:rPr>
        <w:t>(</w:t>
      </w:r>
      <w:proofErr w:type="spellStart"/>
      <w:r w:rsidRPr="0088018A">
        <w:rPr>
          <w:rFonts w:ascii="Cambria" w:eastAsia="Cambria" w:hAnsi="Cambria" w:cs="Cambria"/>
          <w:color w:val="000000"/>
        </w:rPr>
        <w:t>Segalmex</w:t>
      </w:r>
      <w:proofErr w:type="spellEnd"/>
      <w:r w:rsidRPr="0088018A">
        <w:rPr>
          <w:rFonts w:ascii="Cambria" w:eastAsia="Cambria" w:hAnsi="Cambria" w:cs="Cambria"/>
          <w:color w:val="000000"/>
        </w:rPr>
        <w:t>)</w:t>
      </w:r>
      <w:r>
        <w:rPr>
          <w:rFonts w:ascii="Cambria" w:eastAsia="Cambria" w:hAnsi="Cambria" w:cs="Cambria"/>
          <w:color w:val="000000"/>
        </w:rPr>
        <w:t xml:space="preserve">, y; b) </w:t>
      </w:r>
      <w:r w:rsidRPr="0088018A">
        <w:rPr>
          <w:rFonts w:ascii="Cambria" w:eastAsia="Cambria" w:hAnsi="Cambria" w:cs="Cambria"/>
          <w:color w:val="000000"/>
        </w:rPr>
        <w:t>Apoyo de Incentivos</w:t>
      </w:r>
      <w:r>
        <w:rPr>
          <w:rFonts w:ascii="Cambria" w:eastAsia="Cambria" w:hAnsi="Cambria" w:cs="Cambria"/>
          <w:color w:val="000000"/>
        </w:rPr>
        <w:t xml:space="preserve"> que</w:t>
      </w:r>
      <w:r w:rsidRPr="0088018A">
        <w:rPr>
          <w:rFonts w:ascii="Cambria" w:eastAsia="Cambria" w:hAnsi="Cambria" w:cs="Cambria"/>
          <w:color w:val="000000"/>
        </w:rPr>
        <w:t xml:space="preserve"> otorga apoyos económicos a </w:t>
      </w:r>
      <w:r w:rsidRPr="0088018A">
        <w:rPr>
          <w:rFonts w:ascii="Cambria" w:eastAsia="Cambria" w:hAnsi="Cambria" w:cs="Cambria"/>
          <w:color w:val="000000"/>
        </w:rPr>
        <w:lastRenderedPageBreak/>
        <w:t>medianos productores de maíz, arroz y</w:t>
      </w:r>
      <w:r>
        <w:rPr>
          <w:rFonts w:ascii="Cambria" w:eastAsia="Cambria" w:hAnsi="Cambria" w:cs="Cambria"/>
          <w:color w:val="000000"/>
        </w:rPr>
        <w:t xml:space="preserve"> </w:t>
      </w:r>
      <w:r w:rsidRPr="0088018A">
        <w:rPr>
          <w:rFonts w:ascii="Cambria" w:eastAsia="Cambria" w:hAnsi="Cambria" w:cs="Cambria"/>
          <w:color w:val="000000"/>
        </w:rPr>
        <w:t>trigo, para la compra de Instrumentos de Administración de Riesgos (IAR) que respalden el</w:t>
      </w:r>
      <w:r>
        <w:rPr>
          <w:rFonts w:ascii="Cambria" w:eastAsia="Cambria" w:hAnsi="Cambria" w:cs="Cambria"/>
          <w:color w:val="000000"/>
        </w:rPr>
        <w:t xml:space="preserve"> </w:t>
      </w:r>
      <w:r w:rsidRPr="0088018A">
        <w:rPr>
          <w:rFonts w:ascii="Cambria" w:eastAsia="Cambria" w:hAnsi="Cambria" w:cs="Cambria"/>
          <w:color w:val="000000"/>
        </w:rPr>
        <w:t>precio de venta de sus granos, así como apoyos para cubrir las diferencias entre el precio de</w:t>
      </w:r>
      <w:r>
        <w:rPr>
          <w:rFonts w:ascii="Cambria" w:eastAsia="Cambria" w:hAnsi="Cambria" w:cs="Cambria"/>
          <w:color w:val="000000"/>
        </w:rPr>
        <w:t xml:space="preserve"> </w:t>
      </w:r>
      <w:r w:rsidRPr="0088018A">
        <w:rPr>
          <w:rFonts w:ascii="Cambria" w:eastAsia="Cambria" w:hAnsi="Cambria" w:cs="Cambria"/>
          <w:color w:val="000000"/>
        </w:rPr>
        <w:t>garantía y el precio de referencia al que venden sus productos. En este tipo de apoyo</w:t>
      </w:r>
      <w:r>
        <w:rPr>
          <w:rFonts w:ascii="Cambria" w:eastAsia="Cambria" w:hAnsi="Cambria" w:cs="Cambria"/>
          <w:color w:val="000000"/>
        </w:rPr>
        <w:t xml:space="preserve"> </w:t>
      </w:r>
      <w:proofErr w:type="spellStart"/>
      <w:r w:rsidRPr="0088018A">
        <w:rPr>
          <w:rFonts w:ascii="Cambria" w:eastAsia="Cambria" w:hAnsi="Cambria" w:cs="Cambria"/>
          <w:color w:val="000000"/>
        </w:rPr>
        <w:t>Segalmex</w:t>
      </w:r>
      <w:proofErr w:type="spellEnd"/>
      <w:r w:rsidRPr="0088018A">
        <w:rPr>
          <w:rFonts w:ascii="Cambria" w:eastAsia="Cambria" w:hAnsi="Cambria" w:cs="Cambria"/>
          <w:color w:val="000000"/>
        </w:rPr>
        <w:t xml:space="preserve"> no acopia granos.</w:t>
      </w:r>
      <w:r w:rsidRPr="0088018A">
        <w:rPr>
          <w:rFonts w:ascii="Cambria" w:eastAsia="Cambria" w:hAnsi="Cambria" w:cs="Cambria"/>
          <w:color w:val="000000"/>
        </w:rPr>
        <w:cr/>
      </w:r>
    </w:p>
    <w:p w14:paraId="68133DF5" w14:textId="0C9EF170" w:rsidR="00CF49B9" w:rsidRDefault="00CF49B9" w:rsidP="00875A45">
      <w:pPr>
        <w:pBdr>
          <w:top w:val="nil"/>
          <w:left w:val="nil"/>
          <w:bottom w:val="nil"/>
          <w:right w:val="nil"/>
          <w:between w:val="nil"/>
        </w:pBdr>
        <w:spacing w:after="120" w:line="240" w:lineRule="auto"/>
        <w:jc w:val="both"/>
        <w:rPr>
          <w:rFonts w:ascii="Cambria" w:eastAsia="Cambria" w:hAnsi="Cambria" w:cs="Cambria"/>
          <w:color w:val="000000"/>
        </w:rPr>
      </w:pPr>
      <w:r w:rsidRPr="0098066E">
        <w:rPr>
          <w:rFonts w:asciiTheme="minorHAnsi" w:hAnsiTheme="minorHAnsi"/>
          <w:b/>
          <w:color w:val="000000"/>
        </w:rPr>
        <w:t>Principales hallazgos de la evaluación</w:t>
      </w:r>
      <w:r>
        <w:rPr>
          <w:rFonts w:ascii="Cambria" w:eastAsia="Cambria" w:hAnsi="Cambria" w:cs="Cambria"/>
          <w:b/>
          <w:color w:val="000000"/>
        </w:rPr>
        <w:t xml:space="preserve"> </w:t>
      </w:r>
    </w:p>
    <w:p w14:paraId="015BAD4F" w14:textId="767D1A83" w:rsidR="00F15BE8" w:rsidRDefault="00A86DC3" w:rsidP="00F15BE8">
      <w:pPr>
        <w:pBdr>
          <w:top w:val="nil"/>
          <w:left w:val="nil"/>
          <w:bottom w:val="nil"/>
          <w:right w:val="nil"/>
          <w:between w:val="nil"/>
        </w:pBdr>
        <w:spacing w:after="120" w:line="240" w:lineRule="auto"/>
        <w:jc w:val="both"/>
        <w:rPr>
          <w:rFonts w:ascii="Cambria" w:eastAsia="Cambria" w:hAnsi="Cambria" w:cs="Cambria"/>
          <w:color w:val="000000"/>
        </w:rPr>
      </w:pPr>
      <w:r w:rsidRPr="00A86DC3">
        <w:rPr>
          <w:rFonts w:ascii="Cambria" w:eastAsia="Cambria" w:hAnsi="Cambria" w:cs="Cambria"/>
          <w:color w:val="000000"/>
        </w:rPr>
        <w:t>Se detectaron fortalezas en la gestión operativa</w:t>
      </w:r>
      <w:r>
        <w:rPr>
          <w:rFonts w:ascii="Cambria" w:eastAsia="Cambria" w:hAnsi="Cambria" w:cs="Cambria"/>
          <w:color w:val="000000"/>
        </w:rPr>
        <w:t xml:space="preserve"> del Programa</w:t>
      </w:r>
      <w:r w:rsidRPr="00A86DC3">
        <w:rPr>
          <w:rFonts w:ascii="Cambria" w:eastAsia="Cambria" w:hAnsi="Cambria" w:cs="Cambria"/>
          <w:color w:val="000000"/>
        </w:rPr>
        <w:t xml:space="preserve">, las cuales contribuyen a alcanzar </w:t>
      </w:r>
      <w:r>
        <w:rPr>
          <w:rFonts w:ascii="Cambria" w:eastAsia="Cambria" w:hAnsi="Cambria" w:cs="Cambria"/>
          <w:color w:val="000000"/>
        </w:rPr>
        <w:t xml:space="preserve">su objetivo. La más relevante es que en </w:t>
      </w:r>
      <w:r w:rsidRPr="00A86DC3">
        <w:rPr>
          <w:rFonts w:ascii="Cambria" w:eastAsia="Cambria" w:hAnsi="Cambria" w:cs="Cambria"/>
          <w:color w:val="000000"/>
        </w:rPr>
        <w:t>el componente de Apoyo Precios de Garantía,</w:t>
      </w:r>
      <w:r>
        <w:rPr>
          <w:rFonts w:ascii="Cambria" w:eastAsia="Cambria" w:hAnsi="Cambria" w:cs="Cambria"/>
          <w:color w:val="000000"/>
        </w:rPr>
        <w:t xml:space="preserve"> </w:t>
      </w:r>
      <w:r w:rsidRPr="00A86DC3">
        <w:rPr>
          <w:rFonts w:ascii="Cambria" w:eastAsia="Cambria" w:hAnsi="Cambria" w:cs="Cambria"/>
          <w:color w:val="000000"/>
        </w:rPr>
        <w:t xml:space="preserve">el proceso de pago es ágil y directo a los beneficiarios, </w:t>
      </w:r>
      <w:r w:rsidR="00B7670E">
        <w:rPr>
          <w:rFonts w:ascii="Cambria" w:eastAsia="Cambria" w:hAnsi="Cambria" w:cs="Cambria"/>
          <w:color w:val="000000"/>
        </w:rPr>
        <w:t>por lo que</w:t>
      </w:r>
      <w:r w:rsidRPr="00A86DC3">
        <w:rPr>
          <w:rFonts w:ascii="Cambria" w:eastAsia="Cambria" w:hAnsi="Cambria" w:cs="Cambria"/>
          <w:color w:val="000000"/>
        </w:rPr>
        <w:t xml:space="preserve"> reciben el monto</w:t>
      </w:r>
      <w:r>
        <w:rPr>
          <w:rFonts w:ascii="Cambria" w:eastAsia="Cambria" w:hAnsi="Cambria" w:cs="Cambria"/>
          <w:color w:val="000000"/>
        </w:rPr>
        <w:t xml:space="preserve"> </w:t>
      </w:r>
      <w:r w:rsidRPr="00A86DC3">
        <w:rPr>
          <w:rFonts w:ascii="Cambria" w:eastAsia="Cambria" w:hAnsi="Cambria" w:cs="Cambria"/>
          <w:color w:val="000000"/>
        </w:rPr>
        <w:t>derivado de la venta de sus granos de manera oportuna y de acuerdo con la</w:t>
      </w:r>
      <w:r>
        <w:rPr>
          <w:rFonts w:ascii="Cambria" w:eastAsia="Cambria" w:hAnsi="Cambria" w:cs="Cambria"/>
          <w:color w:val="000000"/>
        </w:rPr>
        <w:t xml:space="preserve"> </w:t>
      </w:r>
      <w:r w:rsidRPr="00A86DC3">
        <w:rPr>
          <w:rFonts w:ascii="Cambria" w:eastAsia="Cambria" w:hAnsi="Cambria" w:cs="Cambria"/>
          <w:color w:val="000000"/>
        </w:rPr>
        <w:t>normatividad.</w:t>
      </w:r>
      <w:r>
        <w:rPr>
          <w:rFonts w:ascii="Cambria" w:eastAsia="Cambria" w:hAnsi="Cambria" w:cs="Cambria"/>
          <w:color w:val="000000"/>
        </w:rPr>
        <w:t xml:space="preserve"> Por otro lado, se identificaron procesos que requieren mejoras para su consolidación: en el proceso de planeación de todo el programa </w:t>
      </w:r>
      <w:r w:rsidR="00B9650F" w:rsidRPr="00B9650F">
        <w:rPr>
          <w:rFonts w:ascii="Cambria" w:eastAsia="Cambria" w:hAnsi="Cambria" w:cs="Cambria"/>
          <w:color w:val="000000"/>
        </w:rPr>
        <w:t>no se identificó</w:t>
      </w:r>
      <w:r w:rsidR="00B9650F">
        <w:rPr>
          <w:rFonts w:ascii="Cambria" w:eastAsia="Cambria" w:hAnsi="Cambria" w:cs="Cambria"/>
          <w:color w:val="000000"/>
        </w:rPr>
        <w:t xml:space="preserve"> </w:t>
      </w:r>
      <w:r w:rsidR="00B9650F" w:rsidRPr="00B9650F">
        <w:rPr>
          <w:rFonts w:ascii="Cambria" w:eastAsia="Cambria" w:hAnsi="Cambria" w:cs="Cambria"/>
          <w:color w:val="000000"/>
        </w:rPr>
        <w:t>la metodología usada para la definición del precio de garantía para cada grano o evidencia</w:t>
      </w:r>
      <w:r w:rsidR="00B9650F">
        <w:rPr>
          <w:rFonts w:ascii="Cambria" w:eastAsia="Cambria" w:hAnsi="Cambria" w:cs="Cambria"/>
          <w:color w:val="000000"/>
        </w:rPr>
        <w:t xml:space="preserve"> </w:t>
      </w:r>
      <w:r w:rsidR="00B9650F" w:rsidRPr="00B9650F">
        <w:rPr>
          <w:rFonts w:ascii="Cambria" w:eastAsia="Cambria" w:hAnsi="Cambria" w:cs="Cambria"/>
          <w:color w:val="000000"/>
        </w:rPr>
        <w:t>sobre los mecanismos a través de los cuales pueden ser modificados</w:t>
      </w:r>
      <w:r w:rsidR="00B9650F">
        <w:rPr>
          <w:rFonts w:ascii="Cambria" w:eastAsia="Cambria" w:hAnsi="Cambria" w:cs="Cambria"/>
          <w:color w:val="000000"/>
        </w:rPr>
        <w:t xml:space="preserve">; por otro lado </w:t>
      </w:r>
      <w:r w:rsidR="00B9650F" w:rsidRPr="00B9650F">
        <w:rPr>
          <w:rFonts w:ascii="Cambria" w:eastAsia="Cambria" w:hAnsi="Cambria" w:cs="Cambria"/>
          <w:color w:val="000000"/>
        </w:rPr>
        <w:t>no fue posible identificar una estrategia de difusión del Programa articulada y con</w:t>
      </w:r>
      <w:r w:rsidR="00B9650F">
        <w:rPr>
          <w:rFonts w:ascii="Cambria" w:eastAsia="Cambria" w:hAnsi="Cambria" w:cs="Cambria"/>
          <w:color w:val="000000"/>
        </w:rPr>
        <w:t xml:space="preserve"> </w:t>
      </w:r>
      <w:r w:rsidR="00B9650F" w:rsidRPr="00B9650F">
        <w:rPr>
          <w:rFonts w:ascii="Cambria" w:eastAsia="Cambria" w:hAnsi="Cambria" w:cs="Cambria"/>
          <w:color w:val="000000"/>
        </w:rPr>
        <w:t xml:space="preserve">recursos presupuestarios desde nivel central, regional y local, </w:t>
      </w:r>
      <w:r w:rsidR="00B9650F">
        <w:rPr>
          <w:rFonts w:ascii="Cambria" w:eastAsia="Cambria" w:hAnsi="Cambria" w:cs="Cambria"/>
          <w:color w:val="000000"/>
        </w:rPr>
        <w:t xml:space="preserve">lo que se traduce en que hay productores que </w:t>
      </w:r>
      <w:r w:rsidR="00B7670E">
        <w:rPr>
          <w:rFonts w:ascii="Cambria" w:eastAsia="Cambria" w:hAnsi="Cambria" w:cs="Cambria"/>
          <w:color w:val="000000"/>
        </w:rPr>
        <w:t xml:space="preserve">lo </w:t>
      </w:r>
      <w:r w:rsidR="00B9650F">
        <w:rPr>
          <w:rFonts w:ascii="Cambria" w:eastAsia="Cambria" w:hAnsi="Cambria" w:cs="Cambria"/>
          <w:color w:val="000000"/>
        </w:rPr>
        <w:t>desconocen.</w:t>
      </w:r>
      <w:r w:rsidR="003C7571">
        <w:rPr>
          <w:rFonts w:ascii="Cambria" w:eastAsia="Cambria" w:hAnsi="Cambria" w:cs="Cambria"/>
          <w:color w:val="000000"/>
        </w:rPr>
        <w:t xml:space="preserve"> En el Apoyo Precios de Garantía se observó que </w:t>
      </w:r>
      <w:r w:rsidR="003C7571" w:rsidRPr="003C7571">
        <w:rPr>
          <w:rFonts w:ascii="Cambria" w:eastAsia="Cambria" w:hAnsi="Cambria" w:cs="Cambria"/>
          <w:color w:val="000000"/>
        </w:rPr>
        <w:t>algunos centros de acopio</w:t>
      </w:r>
      <w:r w:rsidR="003C7571">
        <w:rPr>
          <w:rFonts w:ascii="Cambria" w:eastAsia="Cambria" w:hAnsi="Cambria" w:cs="Cambria"/>
          <w:color w:val="000000"/>
        </w:rPr>
        <w:t xml:space="preserve"> solicitan el </w:t>
      </w:r>
      <w:r w:rsidR="003C7571" w:rsidRPr="003C7571">
        <w:rPr>
          <w:rFonts w:ascii="Cambria" w:eastAsia="Cambria" w:hAnsi="Cambria" w:cs="Cambria"/>
          <w:color w:val="000000"/>
        </w:rPr>
        <w:t>Registro Federal de Contribuyentes (RFC) de</w:t>
      </w:r>
      <w:r w:rsidR="003C7571">
        <w:rPr>
          <w:rFonts w:ascii="Cambria" w:eastAsia="Cambria" w:hAnsi="Cambria" w:cs="Cambria"/>
          <w:color w:val="000000"/>
        </w:rPr>
        <w:t xml:space="preserve"> </w:t>
      </w:r>
      <w:r w:rsidR="003C7571" w:rsidRPr="003C7571">
        <w:rPr>
          <w:rFonts w:ascii="Cambria" w:eastAsia="Cambria" w:hAnsi="Cambria" w:cs="Cambria"/>
          <w:color w:val="000000"/>
        </w:rPr>
        <w:t>forma obligatoria</w:t>
      </w:r>
      <w:r w:rsidR="00B7670E">
        <w:rPr>
          <w:rFonts w:ascii="Cambria" w:eastAsia="Cambria" w:hAnsi="Cambria" w:cs="Cambria"/>
          <w:color w:val="000000"/>
        </w:rPr>
        <w:t>,</w:t>
      </w:r>
      <w:r w:rsidR="003C7571" w:rsidRPr="003C7571">
        <w:rPr>
          <w:rFonts w:ascii="Cambria" w:eastAsia="Cambria" w:hAnsi="Cambria" w:cs="Cambria"/>
          <w:color w:val="000000"/>
        </w:rPr>
        <w:t xml:space="preserve"> a pesar de que en la normatividad no se indica</w:t>
      </w:r>
      <w:r w:rsidR="003C7571">
        <w:rPr>
          <w:rFonts w:ascii="Cambria" w:eastAsia="Cambria" w:hAnsi="Cambria" w:cs="Cambria"/>
          <w:color w:val="000000"/>
        </w:rPr>
        <w:t>. Además</w:t>
      </w:r>
      <w:r w:rsidR="003C7571" w:rsidRPr="003C7571">
        <w:rPr>
          <w:rFonts w:ascii="Cambria" w:eastAsia="Cambria" w:hAnsi="Cambria" w:cs="Cambria"/>
          <w:color w:val="000000"/>
        </w:rPr>
        <w:t xml:space="preserve">, algunas bodegas tienen infraestructura deteriorada, mobiliario y equipo escaso o en malas condiciones, </w:t>
      </w:r>
      <w:r w:rsidR="003C7571">
        <w:rPr>
          <w:rFonts w:ascii="Cambria" w:eastAsia="Cambria" w:hAnsi="Cambria" w:cs="Cambria"/>
          <w:color w:val="000000"/>
        </w:rPr>
        <w:t>lo que</w:t>
      </w:r>
      <w:r w:rsidR="003C7571" w:rsidRPr="003C7571">
        <w:rPr>
          <w:rFonts w:ascii="Cambria" w:eastAsia="Cambria" w:hAnsi="Cambria" w:cs="Cambria"/>
          <w:color w:val="000000"/>
        </w:rPr>
        <w:t xml:space="preserve"> repercute en </w:t>
      </w:r>
      <w:r w:rsidR="003C7571">
        <w:rPr>
          <w:rFonts w:ascii="Cambria" w:eastAsia="Cambria" w:hAnsi="Cambria" w:cs="Cambria"/>
          <w:color w:val="000000"/>
        </w:rPr>
        <w:t xml:space="preserve">las </w:t>
      </w:r>
      <w:r w:rsidR="003C7571" w:rsidRPr="003C7571">
        <w:rPr>
          <w:rFonts w:ascii="Cambria" w:eastAsia="Cambria" w:hAnsi="Cambria" w:cs="Cambria"/>
          <w:color w:val="000000"/>
        </w:rPr>
        <w:t>condiciones para el almacenamiento y guarda de los granos y de la leche</w:t>
      </w:r>
      <w:r w:rsidR="003C7571">
        <w:rPr>
          <w:rFonts w:ascii="Cambria" w:eastAsia="Cambria" w:hAnsi="Cambria" w:cs="Cambria"/>
          <w:color w:val="000000"/>
        </w:rPr>
        <w:t xml:space="preserve">. </w:t>
      </w:r>
      <w:r w:rsidR="00F15BE8">
        <w:rPr>
          <w:rFonts w:ascii="Cambria" w:eastAsia="Cambria" w:hAnsi="Cambria" w:cs="Cambria"/>
          <w:color w:val="000000"/>
        </w:rPr>
        <w:t xml:space="preserve">También se identificó que </w:t>
      </w:r>
      <w:r w:rsidR="003C7571" w:rsidRPr="00F15BE8">
        <w:rPr>
          <w:rFonts w:ascii="Cambria" w:eastAsia="Cambria" w:hAnsi="Cambria" w:cs="Cambria"/>
          <w:color w:val="000000"/>
        </w:rPr>
        <w:t xml:space="preserve">el Sistema para el Registro de Productores del Componente Precios de Garantía (SIPREGA) </w:t>
      </w:r>
      <w:r w:rsidR="00F15BE8" w:rsidRPr="00F15BE8">
        <w:rPr>
          <w:rFonts w:ascii="Cambria" w:eastAsia="Cambria" w:hAnsi="Cambria" w:cs="Cambria"/>
          <w:color w:val="000000"/>
        </w:rPr>
        <w:t xml:space="preserve">de este tipo de apoyo </w:t>
      </w:r>
      <w:r w:rsidR="003C7571" w:rsidRPr="00F15BE8">
        <w:rPr>
          <w:rFonts w:ascii="Cambria" w:eastAsia="Cambria" w:hAnsi="Cambria" w:cs="Cambria"/>
          <w:color w:val="000000"/>
        </w:rPr>
        <w:t xml:space="preserve">suele saturarse, lo que genera </w:t>
      </w:r>
      <w:r w:rsidR="00F15BE8" w:rsidRPr="00F15BE8">
        <w:rPr>
          <w:rFonts w:ascii="Cambria" w:eastAsia="Cambria" w:hAnsi="Cambria" w:cs="Cambria"/>
          <w:color w:val="000000"/>
        </w:rPr>
        <w:t>largos periodos de espera para el registro de los productores. De manera similar, e</w:t>
      </w:r>
      <w:r w:rsidR="003C7571">
        <w:rPr>
          <w:rFonts w:ascii="Cambria" w:eastAsia="Cambria" w:hAnsi="Cambria" w:cs="Cambria"/>
          <w:color w:val="000000"/>
        </w:rPr>
        <w:t xml:space="preserve">n el Apoyo de Incentivos se observó </w:t>
      </w:r>
      <w:r w:rsidR="003C7571" w:rsidRPr="003C7571">
        <w:rPr>
          <w:rFonts w:ascii="Cambria" w:eastAsia="Cambria" w:hAnsi="Cambria" w:cs="Cambria"/>
          <w:color w:val="000000"/>
        </w:rPr>
        <w:t>que la</w:t>
      </w:r>
      <w:r w:rsidR="003C7571">
        <w:rPr>
          <w:rFonts w:ascii="Cambria" w:eastAsia="Cambria" w:hAnsi="Cambria" w:cs="Cambria"/>
          <w:color w:val="000000"/>
        </w:rPr>
        <w:t xml:space="preserve"> </w:t>
      </w:r>
      <w:r w:rsidR="003C7571" w:rsidRPr="003C7571">
        <w:rPr>
          <w:rFonts w:ascii="Cambria" w:eastAsia="Cambria" w:hAnsi="Cambria" w:cs="Cambria"/>
          <w:color w:val="000000"/>
        </w:rPr>
        <w:t xml:space="preserve">cantidad de información que solicita el </w:t>
      </w:r>
      <w:r w:rsidR="003C7571">
        <w:rPr>
          <w:rFonts w:ascii="Cambria" w:eastAsia="Cambria" w:hAnsi="Cambria" w:cs="Cambria"/>
          <w:color w:val="000000"/>
        </w:rPr>
        <w:t xml:space="preserve">programa para el registro de los productores </w:t>
      </w:r>
      <w:r w:rsidR="003C7571" w:rsidRPr="003C7571">
        <w:rPr>
          <w:rFonts w:ascii="Cambria" w:eastAsia="Cambria" w:hAnsi="Cambria" w:cs="Cambria"/>
          <w:color w:val="000000"/>
        </w:rPr>
        <w:t>es significativa y se tiene que registrar dos veces</w:t>
      </w:r>
      <w:r w:rsidR="003C7571">
        <w:rPr>
          <w:rFonts w:ascii="Cambria" w:eastAsia="Cambria" w:hAnsi="Cambria" w:cs="Cambria"/>
          <w:color w:val="000000"/>
        </w:rPr>
        <w:t xml:space="preserve"> </w:t>
      </w:r>
      <w:r w:rsidR="003C7571" w:rsidRPr="003C7571">
        <w:rPr>
          <w:rFonts w:ascii="Cambria" w:eastAsia="Cambria" w:hAnsi="Cambria" w:cs="Cambria"/>
          <w:color w:val="000000"/>
        </w:rPr>
        <w:t xml:space="preserve">debido a que el Sistema </w:t>
      </w:r>
      <w:proofErr w:type="spellStart"/>
      <w:r w:rsidR="003C7571" w:rsidRPr="003C7571">
        <w:rPr>
          <w:rFonts w:ascii="Cambria" w:eastAsia="Cambria" w:hAnsi="Cambria" w:cs="Cambria"/>
          <w:color w:val="000000"/>
        </w:rPr>
        <w:t>Segalmex</w:t>
      </w:r>
      <w:proofErr w:type="spellEnd"/>
      <w:r w:rsidR="003C7571" w:rsidRPr="003C7571">
        <w:rPr>
          <w:rFonts w:ascii="Cambria" w:eastAsia="Cambria" w:hAnsi="Cambria" w:cs="Cambria"/>
          <w:color w:val="000000"/>
        </w:rPr>
        <w:t xml:space="preserve"> no precarga la información de ciclos anteriores</w:t>
      </w:r>
      <w:r w:rsidR="00F15BE8">
        <w:rPr>
          <w:rFonts w:ascii="Cambria" w:eastAsia="Cambria" w:hAnsi="Cambria" w:cs="Cambria"/>
          <w:color w:val="000000"/>
        </w:rPr>
        <w:t>, asimismo: e</w:t>
      </w:r>
      <w:r w:rsidR="00F15BE8" w:rsidRPr="00F15BE8">
        <w:rPr>
          <w:rFonts w:ascii="Cambria" w:eastAsia="Cambria" w:hAnsi="Cambria" w:cs="Cambria"/>
          <w:color w:val="000000"/>
        </w:rPr>
        <w:t xml:space="preserve">n fechas cercanas al cierre de las convocatorias </w:t>
      </w:r>
      <w:r w:rsidR="00F15BE8">
        <w:rPr>
          <w:rFonts w:ascii="Cambria" w:eastAsia="Cambria" w:hAnsi="Cambria" w:cs="Cambria"/>
          <w:color w:val="000000"/>
        </w:rPr>
        <w:t xml:space="preserve">la capacidad de este se ve sobrepasada, </w:t>
      </w:r>
      <w:r w:rsidR="00F15BE8" w:rsidRPr="00F15BE8">
        <w:rPr>
          <w:rFonts w:ascii="Cambria" w:eastAsia="Cambria" w:hAnsi="Cambria" w:cs="Cambria"/>
          <w:color w:val="000000"/>
        </w:rPr>
        <w:t>lo que provoca lentitud y</w:t>
      </w:r>
      <w:r w:rsidR="00F15BE8">
        <w:rPr>
          <w:rFonts w:ascii="Cambria" w:eastAsia="Cambria" w:hAnsi="Cambria" w:cs="Cambria"/>
          <w:color w:val="000000"/>
        </w:rPr>
        <w:t xml:space="preserve"> </w:t>
      </w:r>
      <w:r w:rsidR="00F15BE8" w:rsidRPr="00F15BE8">
        <w:rPr>
          <w:rFonts w:ascii="Cambria" w:eastAsia="Cambria" w:hAnsi="Cambria" w:cs="Cambria"/>
          <w:color w:val="000000"/>
        </w:rPr>
        <w:t xml:space="preserve">caídas del </w:t>
      </w:r>
      <w:r w:rsidR="00F15BE8">
        <w:rPr>
          <w:rFonts w:ascii="Cambria" w:eastAsia="Cambria" w:hAnsi="Cambria" w:cs="Cambria"/>
          <w:color w:val="000000"/>
        </w:rPr>
        <w:t>sistema.</w:t>
      </w:r>
    </w:p>
    <w:p w14:paraId="248BD2F1" w14:textId="2F899148" w:rsidR="00614444" w:rsidRDefault="00614444" w:rsidP="00614444">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b/>
          <w:color w:val="000000"/>
        </w:rPr>
        <w:t>Principales recomendaciones de la evaluación</w:t>
      </w:r>
    </w:p>
    <w:p w14:paraId="4EC7D511" w14:textId="7BCF4A5B" w:rsidR="005717C8" w:rsidRPr="00A24A2F" w:rsidRDefault="00F15BE8" w:rsidP="005717C8">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 xml:space="preserve">Con relación a las áreas de oportunidad detectadas en la planeación de todo el programa, </w:t>
      </w:r>
      <w:r w:rsidRPr="00B9650F">
        <w:rPr>
          <w:rFonts w:ascii="Cambria" w:eastAsia="Cambria" w:hAnsi="Cambria" w:cs="Cambria"/>
          <w:color w:val="000000"/>
        </w:rPr>
        <w:t>se considera</w:t>
      </w:r>
      <w:r>
        <w:rPr>
          <w:rFonts w:ascii="Cambria" w:eastAsia="Cambria" w:hAnsi="Cambria" w:cs="Cambria"/>
          <w:color w:val="000000"/>
        </w:rPr>
        <w:t xml:space="preserve"> </w:t>
      </w:r>
      <w:r w:rsidRPr="00B9650F">
        <w:rPr>
          <w:rFonts w:ascii="Cambria" w:eastAsia="Cambria" w:hAnsi="Cambria" w:cs="Cambria"/>
          <w:color w:val="000000"/>
        </w:rPr>
        <w:t>importante definir y hacer pública la metodología para la determinación de los precios de</w:t>
      </w:r>
      <w:r>
        <w:rPr>
          <w:rFonts w:ascii="Cambria" w:eastAsia="Cambria" w:hAnsi="Cambria" w:cs="Cambria"/>
          <w:color w:val="000000"/>
        </w:rPr>
        <w:t xml:space="preserve"> </w:t>
      </w:r>
      <w:r w:rsidRPr="00B9650F">
        <w:rPr>
          <w:rFonts w:ascii="Cambria" w:eastAsia="Cambria" w:hAnsi="Cambria" w:cs="Cambria"/>
          <w:color w:val="000000"/>
        </w:rPr>
        <w:t>garantía, así como de los mecanismos y condiciones para su ajust</w:t>
      </w:r>
      <w:r>
        <w:rPr>
          <w:rFonts w:ascii="Cambria" w:eastAsia="Cambria" w:hAnsi="Cambria" w:cs="Cambria"/>
          <w:color w:val="000000"/>
        </w:rPr>
        <w:t>e</w:t>
      </w:r>
      <w:r w:rsidR="00A24A2F">
        <w:rPr>
          <w:rFonts w:ascii="Cambria" w:eastAsia="Cambria" w:hAnsi="Cambria" w:cs="Cambria"/>
          <w:color w:val="000000"/>
        </w:rPr>
        <w:t>. P</w:t>
      </w:r>
      <w:r>
        <w:rPr>
          <w:rFonts w:ascii="Cambria" w:eastAsia="Cambria" w:hAnsi="Cambria" w:cs="Cambria"/>
          <w:color w:val="000000"/>
        </w:rPr>
        <w:t xml:space="preserve">or otro lado, en cuanto a las discrepancias en los requisitos solicitados para el registro de productores en el Apoyo Precios de Garantía </w:t>
      </w:r>
      <w:r w:rsidRPr="00A24A2F">
        <w:rPr>
          <w:rFonts w:ascii="Cambria" w:eastAsia="Cambria" w:hAnsi="Cambria" w:cs="Cambria"/>
          <w:color w:val="000000"/>
        </w:rPr>
        <w:t>se requiere establecer, en la normatividad y con el personal operativo, los requisitos de manera clara, para que no se solicite información que no sea obligatoria</w:t>
      </w:r>
      <w:r w:rsidR="005717C8" w:rsidRPr="00A24A2F">
        <w:rPr>
          <w:rFonts w:ascii="Cambria" w:eastAsia="Cambria" w:hAnsi="Cambria" w:cs="Cambria"/>
          <w:color w:val="000000"/>
        </w:rPr>
        <w:t xml:space="preserve">. </w:t>
      </w:r>
      <w:r w:rsidR="00A24A2F">
        <w:rPr>
          <w:rFonts w:ascii="Cambria" w:eastAsia="Cambria" w:hAnsi="Cambria" w:cs="Cambria"/>
          <w:color w:val="000000"/>
        </w:rPr>
        <w:t>Para contribuir a resolver los problemas de saturación</w:t>
      </w:r>
      <w:r w:rsidR="005717C8" w:rsidRPr="00A24A2F">
        <w:rPr>
          <w:rFonts w:ascii="Cambria" w:eastAsia="Cambria" w:hAnsi="Cambria" w:cs="Cambria"/>
          <w:color w:val="000000"/>
        </w:rPr>
        <w:t xml:space="preserve"> de los Sistemas </w:t>
      </w:r>
      <w:proofErr w:type="spellStart"/>
      <w:r w:rsidR="005717C8" w:rsidRPr="00A24A2F">
        <w:rPr>
          <w:rFonts w:ascii="Cambria" w:eastAsia="Cambria" w:hAnsi="Cambria" w:cs="Cambria"/>
          <w:color w:val="000000"/>
        </w:rPr>
        <w:t>Segalmex</w:t>
      </w:r>
      <w:proofErr w:type="spellEnd"/>
      <w:r w:rsidR="005717C8" w:rsidRPr="00A24A2F">
        <w:rPr>
          <w:rFonts w:ascii="Cambria" w:eastAsia="Cambria" w:hAnsi="Cambria" w:cs="Cambria"/>
          <w:color w:val="000000"/>
        </w:rPr>
        <w:t xml:space="preserve"> y SIPREGA, se sugiere explorar la posibilidad de abrir el registro de productores en un periodo previo al inicio del acopio,</w:t>
      </w:r>
      <w:r w:rsidR="00A24A2F">
        <w:rPr>
          <w:rFonts w:ascii="Cambria" w:eastAsia="Cambria" w:hAnsi="Cambria" w:cs="Cambria"/>
          <w:color w:val="000000"/>
        </w:rPr>
        <w:t xml:space="preserve"> o</w:t>
      </w:r>
      <w:r w:rsidR="005717C8" w:rsidRPr="00A24A2F">
        <w:rPr>
          <w:rFonts w:ascii="Cambria" w:eastAsia="Cambria" w:hAnsi="Cambria" w:cs="Cambria"/>
          <w:color w:val="000000"/>
        </w:rPr>
        <w:t xml:space="preserve"> mediante citas o mecanismos que permitan organizar a los beneficiarios por horarios</w:t>
      </w:r>
      <w:r w:rsidR="00B7670E">
        <w:rPr>
          <w:rFonts w:ascii="Cambria" w:eastAsia="Cambria" w:hAnsi="Cambria" w:cs="Cambria"/>
          <w:color w:val="000000"/>
        </w:rPr>
        <w:t xml:space="preserve"> durante los periodos de mayor demanda</w:t>
      </w:r>
      <w:r w:rsidR="005717C8" w:rsidRPr="00A24A2F">
        <w:rPr>
          <w:rFonts w:ascii="Cambria" w:eastAsia="Cambria" w:hAnsi="Cambria" w:cs="Cambria"/>
          <w:color w:val="000000"/>
        </w:rPr>
        <w:t>.</w:t>
      </w:r>
    </w:p>
    <w:p w14:paraId="551D47A7" w14:textId="77777777" w:rsidR="00614444" w:rsidRDefault="00614444" w:rsidP="00614444">
      <w:pPr>
        <w:pBdr>
          <w:top w:val="nil"/>
          <w:left w:val="nil"/>
          <w:bottom w:val="nil"/>
          <w:right w:val="nil"/>
          <w:between w:val="nil"/>
        </w:pBdr>
        <w:spacing w:after="120" w:line="240" w:lineRule="auto"/>
        <w:jc w:val="both"/>
        <w:rPr>
          <w:rFonts w:ascii="Cambria" w:eastAsia="Cambria" w:hAnsi="Cambria" w:cs="Cambria"/>
          <w:b/>
          <w:color w:val="000000"/>
        </w:rPr>
      </w:pPr>
      <w:r>
        <w:rPr>
          <w:rFonts w:ascii="Cambria" w:eastAsia="Cambria" w:hAnsi="Cambria" w:cs="Cambria"/>
          <w:b/>
          <w:color w:val="000000"/>
        </w:rPr>
        <w:t xml:space="preserve">Recomendaciones para el proceso de programación y presupuestación </w:t>
      </w:r>
    </w:p>
    <w:p w14:paraId="1A075967" w14:textId="58E52704" w:rsidR="00F15BE8" w:rsidRDefault="005717C8" w:rsidP="00F15BE8">
      <w:pPr>
        <w:pBdr>
          <w:top w:val="nil"/>
          <w:left w:val="nil"/>
          <w:bottom w:val="nil"/>
          <w:right w:val="nil"/>
          <w:between w:val="nil"/>
        </w:pBdr>
        <w:spacing w:after="120" w:line="240" w:lineRule="auto"/>
        <w:jc w:val="both"/>
        <w:rPr>
          <w:rFonts w:ascii="Cambria" w:eastAsia="Cambria" w:hAnsi="Cambria" w:cs="Cambria"/>
          <w:color w:val="000000"/>
        </w:rPr>
      </w:pPr>
      <w:r>
        <w:rPr>
          <w:rFonts w:ascii="Cambria" w:eastAsia="Cambria" w:hAnsi="Cambria" w:cs="Cambria"/>
          <w:color w:val="000000"/>
        </w:rPr>
        <w:t>Con el objetivo de</w:t>
      </w:r>
      <w:r w:rsidR="00A24A2F">
        <w:rPr>
          <w:rFonts w:ascii="Cambria" w:eastAsia="Cambria" w:hAnsi="Cambria" w:cs="Cambria"/>
          <w:color w:val="000000"/>
        </w:rPr>
        <w:t xml:space="preserve"> fortalecer la difusión de todo el programa, se requiere </w:t>
      </w:r>
      <w:r w:rsidR="00F15BE8" w:rsidRPr="00B9650F">
        <w:rPr>
          <w:rFonts w:ascii="Cambria" w:eastAsia="Cambria" w:hAnsi="Cambria" w:cs="Cambria"/>
          <w:color w:val="000000"/>
        </w:rPr>
        <w:t>mejorar</w:t>
      </w:r>
      <w:r w:rsidR="00F15BE8">
        <w:rPr>
          <w:rFonts w:ascii="Cambria" w:eastAsia="Cambria" w:hAnsi="Cambria" w:cs="Cambria"/>
          <w:color w:val="000000"/>
        </w:rPr>
        <w:t xml:space="preserve"> </w:t>
      </w:r>
      <w:r w:rsidR="00F15BE8" w:rsidRPr="00B9650F">
        <w:rPr>
          <w:rFonts w:ascii="Cambria" w:eastAsia="Cambria" w:hAnsi="Cambria" w:cs="Cambria"/>
          <w:color w:val="000000"/>
        </w:rPr>
        <w:t xml:space="preserve">la estrategia a nivel nacional, informando antes de la siembra sobre los diferentes </w:t>
      </w:r>
      <w:r w:rsidR="00B7670E">
        <w:rPr>
          <w:rFonts w:ascii="Cambria" w:eastAsia="Cambria" w:hAnsi="Cambria" w:cs="Cambria"/>
          <w:color w:val="000000"/>
        </w:rPr>
        <w:t xml:space="preserve">tipos de apoyo </w:t>
      </w:r>
      <w:r w:rsidR="00F15BE8" w:rsidRPr="00B9650F">
        <w:rPr>
          <w:rFonts w:ascii="Cambria" w:eastAsia="Cambria" w:hAnsi="Cambria" w:cs="Cambria"/>
          <w:color w:val="000000"/>
        </w:rPr>
        <w:t>con mecanismos como reuniones previas al inicio de la operación con otras</w:t>
      </w:r>
      <w:r w:rsidR="00F15BE8">
        <w:rPr>
          <w:rFonts w:ascii="Cambria" w:eastAsia="Cambria" w:hAnsi="Cambria" w:cs="Cambria"/>
          <w:color w:val="000000"/>
        </w:rPr>
        <w:t xml:space="preserve"> </w:t>
      </w:r>
      <w:r w:rsidR="00F15BE8" w:rsidRPr="00B9650F">
        <w:rPr>
          <w:rFonts w:ascii="Cambria" w:eastAsia="Cambria" w:hAnsi="Cambria" w:cs="Cambria"/>
          <w:color w:val="000000"/>
        </w:rPr>
        <w:t>dependencias estatales e instituciones federales con presencia en los estados para dar a</w:t>
      </w:r>
      <w:r w:rsidR="00F15BE8">
        <w:rPr>
          <w:rFonts w:ascii="Cambria" w:eastAsia="Cambria" w:hAnsi="Cambria" w:cs="Cambria"/>
          <w:color w:val="000000"/>
        </w:rPr>
        <w:t xml:space="preserve"> </w:t>
      </w:r>
      <w:r w:rsidR="00F15BE8" w:rsidRPr="00B9650F">
        <w:rPr>
          <w:rFonts w:ascii="Cambria" w:eastAsia="Cambria" w:hAnsi="Cambria" w:cs="Cambria"/>
          <w:color w:val="000000"/>
        </w:rPr>
        <w:t>conocer el Programa y sus procesos.</w:t>
      </w:r>
      <w:r w:rsidR="00A24A2F">
        <w:rPr>
          <w:rFonts w:ascii="Cambria" w:eastAsia="Cambria" w:hAnsi="Cambria" w:cs="Cambria"/>
          <w:color w:val="000000"/>
        </w:rPr>
        <w:t xml:space="preserve"> </w:t>
      </w:r>
      <w:r w:rsidR="00A24A2F" w:rsidRPr="00B7670E">
        <w:rPr>
          <w:rFonts w:ascii="Cambria" w:eastAsia="Cambria" w:hAnsi="Cambria" w:cs="Cambria"/>
          <w:color w:val="000000"/>
        </w:rPr>
        <w:t xml:space="preserve">Por otro lado, para garantizar la </w:t>
      </w:r>
      <w:r w:rsidR="00F15BE8" w:rsidRPr="00B7670E">
        <w:rPr>
          <w:rFonts w:ascii="Cambria" w:eastAsia="Cambria" w:hAnsi="Cambria" w:cs="Cambria"/>
          <w:color w:val="000000"/>
        </w:rPr>
        <w:t xml:space="preserve">seguridad de los productos acopiados por </w:t>
      </w:r>
      <w:r w:rsidR="00A24A2F" w:rsidRPr="00B7670E">
        <w:rPr>
          <w:rFonts w:ascii="Cambria" w:eastAsia="Cambria" w:hAnsi="Cambria" w:cs="Cambria"/>
          <w:color w:val="000000"/>
        </w:rPr>
        <w:t>Apoyo Precios de Garantía</w:t>
      </w:r>
      <w:r w:rsidR="00F15BE8" w:rsidRPr="00B7670E">
        <w:rPr>
          <w:rFonts w:ascii="Cambria" w:eastAsia="Cambria" w:hAnsi="Cambria" w:cs="Cambria"/>
          <w:color w:val="000000"/>
        </w:rPr>
        <w:t xml:space="preserve">, es necesario </w:t>
      </w:r>
      <w:r w:rsidR="00A24A2F" w:rsidRPr="00B7670E">
        <w:rPr>
          <w:rFonts w:ascii="Cambria" w:eastAsia="Cambria" w:hAnsi="Cambria" w:cs="Cambria"/>
          <w:color w:val="000000"/>
        </w:rPr>
        <w:t xml:space="preserve">implementar un plan de reparación y mantenimiento de </w:t>
      </w:r>
      <w:r w:rsidR="00A24A2F" w:rsidRPr="00B7670E">
        <w:rPr>
          <w:rFonts w:ascii="Cambria" w:eastAsia="Cambria" w:hAnsi="Cambria" w:cs="Cambria"/>
          <w:color w:val="000000"/>
        </w:rPr>
        <w:lastRenderedPageBreak/>
        <w:t>centros de acopio</w:t>
      </w:r>
      <w:r w:rsidR="00B7670E" w:rsidRPr="00B7670E">
        <w:rPr>
          <w:rFonts w:ascii="Cambria" w:eastAsia="Cambria" w:hAnsi="Cambria" w:cs="Cambria"/>
          <w:color w:val="000000"/>
        </w:rPr>
        <w:t xml:space="preserve">. Finalmente, para atender los problemas detectados en el registro de productores de ambos tipos de apoyo se requiere: </w:t>
      </w:r>
      <w:r w:rsidR="00F15BE8" w:rsidRPr="00B7670E">
        <w:rPr>
          <w:rFonts w:ascii="Cambria" w:eastAsia="Cambria" w:hAnsi="Cambria" w:cs="Cambria"/>
          <w:color w:val="000000"/>
        </w:rPr>
        <w:t>valorar la pertinencia y viabilidad de generar un sistema fuera de línea</w:t>
      </w:r>
      <w:r w:rsidR="00B7670E" w:rsidRPr="00B7670E">
        <w:rPr>
          <w:rFonts w:ascii="Cambria" w:eastAsia="Cambria" w:hAnsi="Cambria" w:cs="Cambria"/>
          <w:color w:val="000000"/>
        </w:rPr>
        <w:t xml:space="preserve"> que permita </w:t>
      </w:r>
      <w:r w:rsidR="00F15BE8" w:rsidRPr="00B7670E">
        <w:rPr>
          <w:rFonts w:ascii="Cambria" w:eastAsia="Cambria" w:hAnsi="Cambria" w:cs="Cambria"/>
          <w:color w:val="000000"/>
        </w:rPr>
        <w:t xml:space="preserve">registrar a los productores mientras no hay acceso a internet, </w:t>
      </w:r>
      <w:r w:rsidR="00B7670E" w:rsidRPr="00B7670E">
        <w:rPr>
          <w:rFonts w:ascii="Cambria" w:eastAsia="Cambria" w:hAnsi="Cambria" w:cs="Cambria"/>
          <w:color w:val="000000"/>
        </w:rPr>
        <w:t xml:space="preserve">para </w:t>
      </w:r>
      <w:r w:rsidR="00F15BE8" w:rsidRPr="00B7670E">
        <w:rPr>
          <w:rFonts w:ascii="Cambria" w:eastAsia="Cambria" w:hAnsi="Cambria" w:cs="Cambria"/>
          <w:color w:val="000000"/>
        </w:rPr>
        <w:t xml:space="preserve">posteriormente alimentar el SIPREGA </w:t>
      </w:r>
      <w:r w:rsidR="00B7670E">
        <w:rPr>
          <w:rFonts w:ascii="Cambria" w:eastAsia="Cambria" w:hAnsi="Cambria" w:cs="Cambria"/>
          <w:color w:val="000000"/>
        </w:rPr>
        <w:t>en el Apoyo Precios de Garantía</w:t>
      </w:r>
      <w:r w:rsidR="00F15BE8" w:rsidRPr="00B7670E">
        <w:rPr>
          <w:rFonts w:ascii="Cambria" w:eastAsia="Cambria" w:hAnsi="Cambria" w:cs="Cambria"/>
          <w:color w:val="000000"/>
        </w:rPr>
        <w:t>.</w:t>
      </w:r>
      <w:r w:rsidR="00B7670E" w:rsidRPr="00B7670E">
        <w:rPr>
          <w:rFonts w:ascii="Cambria" w:eastAsia="Cambria" w:hAnsi="Cambria" w:cs="Cambria"/>
          <w:color w:val="000000"/>
        </w:rPr>
        <w:t xml:space="preserve"> Asimismo, en el Apoyo de Incentivos </w:t>
      </w:r>
      <w:r w:rsidRPr="00B7670E">
        <w:rPr>
          <w:rFonts w:ascii="Cambria" w:eastAsia="Cambria" w:hAnsi="Cambria" w:cs="Cambria"/>
          <w:color w:val="000000"/>
        </w:rPr>
        <w:t>se recomienda considerar</w:t>
      </w:r>
      <w:r w:rsidR="00B7670E" w:rsidRPr="00B7670E">
        <w:t xml:space="preserve"> </w:t>
      </w:r>
      <w:r w:rsidR="00B7670E" w:rsidRPr="00B7670E">
        <w:rPr>
          <w:rFonts w:ascii="Cambria" w:eastAsia="Cambria" w:hAnsi="Cambria" w:cs="Cambria"/>
          <w:color w:val="000000"/>
        </w:rPr>
        <w:t xml:space="preserve">por lo que se recomienda invertir en él </w:t>
      </w:r>
      <w:r w:rsidR="00B7670E">
        <w:rPr>
          <w:rFonts w:ascii="Cambria" w:eastAsia="Cambria" w:hAnsi="Cambria" w:cs="Cambria"/>
          <w:color w:val="000000"/>
        </w:rPr>
        <w:t>y valorar</w:t>
      </w:r>
      <w:r w:rsidRPr="00B7670E">
        <w:rPr>
          <w:rFonts w:ascii="Cambria" w:eastAsia="Cambria" w:hAnsi="Cambria" w:cs="Cambria"/>
          <w:color w:val="000000"/>
        </w:rPr>
        <w:t xml:space="preserve"> la posibilidad de utilizar la información de los productores que han participado en ciclos anteriores, buscando que el Sistema </w:t>
      </w:r>
      <w:proofErr w:type="spellStart"/>
      <w:r w:rsidR="00B7670E" w:rsidRPr="00B7670E">
        <w:rPr>
          <w:rFonts w:ascii="Cambria" w:eastAsia="Cambria" w:hAnsi="Cambria" w:cs="Cambria"/>
          <w:color w:val="000000"/>
        </w:rPr>
        <w:t>Segalmex</w:t>
      </w:r>
      <w:proofErr w:type="spellEnd"/>
      <w:r w:rsidR="00B7670E" w:rsidRPr="00B7670E">
        <w:rPr>
          <w:rFonts w:ascii="Cambria" w:eastAsia="Cambria" w:hAnsi="Cambria" w:cs="Cambria"/>
          <w:color w:val="000000"/>
        </w:rPr>
        <w:t xml:space="preserve"> </w:t>
      </w:r>
      <w:r w:rsidRPr="00B7670E">
        <w:rPr>
          <w:rFonts w:ascii="Cambria" w:eastAsia="Cambria" w:hAnsi="Cambria" w:cs="Cambria"/>
          <w:color w:val="000000"/>
        </w:rPr>
        <w:t xml:space="preserve">tenga </w:t>
      </w:r>
      <w:proofErr w:type="spellStart"/>
      <w:r w:rsidRPr="00B7670E">
        <w:rPr>
          <w:rFonts w:ascii="Cambria" w:eastAsia="Cambria" w:hAnsi="Cambria" w:cs="Cambria"/>
          <w:color w:val="000000"/>
        </w:rPr>
        <w:t>pre-cargada</w:t>
      </w:r>
      <w:proofErr w:type="spellEnd"/>
      <w:r w:rsidRPr="00B7670E">
        <w:rPr>
          <w:rFonts w:ascii="Cambria" w:eastAsia="Cambria" w:hAnsi="Cambria" w:cs="Cambria"/>
          <w:color w:val="000000"/>
        </w:rPr>
        <w:t xml:space="preserve"> esta información para validarla y actualizarla cuando sea necesario.</w:t>
      </w:r>
    </w:p>
    <w:p w14:paraId="2C455B77" w14:textId="77777777" w:rsidR="00614444" w:rsidRDefault="00614444" w:rsidP="00614444">
      <w:pPr>
        <w:pBdr>
          <w:top w:val="nil"/>
          <w:left w:val="nil"/>
          <w:bottom w:val="nil"/>
          <w:right w:val="nil"/>
          <w:between w:val="nil"/>
        </w:pBdr>
        <w:shd w:val="clear" w:color="auto" w:fill="D9D9D9"/>
        <w:spacing w:after="120" w:line="240" w:lineRule="auto"/>
        <w:jc w:val="both"/>
        <w:rPr>
          <w:rFonts w:ascii="Cambria" w:eastAsia="Cambria" w:hAnsi="Cambria" w:cs="Cambria"/>
          <w:b/>
          <w:i/>
          <w:color w:val="000000"/>
          <w:sz w:val="20"/>
          <w:szCs w:val="20"/>
        </w:rPr>
      </w:pPr>
      <w:r>
        <w:rPr>
          <w:rFonts w:ascii="Cambria" w:eastAsia="Cambria" w:hAnsi="Cambria" w:cs="Cambria"/>
          <w:b/>
          <w:i/>
          <w:color w:val="000000"/>
        </w:rPr>
        <w:t>Notas:</w:t>
      </w:r>
    </w:p>
    <w:p w14:paraId="7BD2A291"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deberá ser enviado a la UED y al Consejo, de conformidad con lo establecido en los numerales </w:t>
      </w:r>
      <w:r w:rsidRPr="00F41741">
        <w:rPr>
          <w:rFonts w:ascii="Cambria" w:hAnsi="Cambria"/>
          <w:i/>
          <w:color w:val="000000"/>
          <w:sz w:val="20"/>
        </w:rPr>
        <w:t>34 y 3</w:t>
      </w:r>
      <w:r w:rsidRPr="003F32CC">
        <w:rPr>
          <w:rFonts w:ascii="Cambria" w:hAnsi="Cambria"/>
          <w:i/>
          <w:color w:val="000000"/>
          <w:sz w:val="20"/>
        </w:rPr>
        <w:t>5</w:t>
      </w:r>
      <w:r>
        <w:rPr>
          <w:rFonts w:ascii="Cambria" w:eastAsia="Cambria" w:hAnsi="Cambria" w:cs="Cambria"/>
          <w:i/>
          <w:color w:val="000000"/>
          <w:sz w:val="20"/>
          <w:szCs w:val="20"/>
        </w:rPr>
        <w:t xml:space="preserve"> de este PAE, junto con el informe final de la evaluación.</w:t>
      </w:r>
    </w:p>
    <w:p w14:paraId="5AB399AC"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El FARE contiene la información señalada en el numeral Vigésimo Octavo de los Lineamientos Generales para la Evaluación de los Programas Federales de la Administración Pública Federal, con excepción de los incisos V, VI y VII. </w:t>
      </w:r>
    </w:p>
    <w:p w14:paraId="371B4536"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 xml:space="preserve"> El FARE constituye el principal insumo para integrar el informe trimestral al que hace referencia el artículo 107, fracción I, de la Ley Federal de Presupuesto y Responsabilidad Hacendaria (LFPRH).  </w:t>
      </w:r>
    </w:p>
    <w:p w14:paraId="2C3AE769" w14:textId="77777777" w:rsidR="00614444" w:rsidRDefault="00614444" w:rsidP="00614444">
      <w:pPr>
        <w:numPr>
          <w:ilvl w:val="0"/>
          <w:numId w:val="1"/>
        </w:numPr>
        <w:pBdr>
          <w:top w:val="nil"/>
          <w:left w:val="nil"/>
          <w:bottom w:val="nil"/>
          <w:right w:val="nil"/>
          <w:between w:val="nil"/>
        </w:pBdr>
        <w:shd w:val="clear" w:color="auto" w:fill="D9D9D9"/>
        <w:spacing w:after="120" w:line="240" w:lineRule="auto"/>
        <w:ind w:left="426" w:hanging="425"/>
        <w:jc w:val="both"/>
        <w:rPr>
          <w:i/>
          <w:color w:val="000000"/>
          <w:sz w:val="20"/>
          <w:szCs w:val="20"/>
        </w:rPr>
      </w:pPr>
      <w:r>
        <w:rPr>
          <w:rFonts w:ascii="Cambria" w:eastAsia="Cambria" w:hAnsi="Cambria" w:cs="Cambria"/>
          <w:i/>
          <w:color w:val="000000"/>
          <w:sz w:val="20"/>
          <w:szCs w:val="20"/>
        </w:rPr>
        <w:t>El FARE constituye uno de los principales insumos para la integración del repositorio de evaluaciones que señala el artículo 303 Bis del Reglamento de la LFPRH.</w:t>
      </w:r>
    </w:p>
    <w:p w14:paraId="55A48B96" w14:textId="77777777" w:rsidR="00614444" w:rsidRDefault="00614444"/>
    <w:sectPr w:rsidR="00614444" w:rsidSect="000A3C98">
      <w:headerReference w:type="default" r:id="rId7"/>
      <w:pgSz w:w="12240" w:h="15840"/>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BE016" w14:textId="77777777" w:rsidR="0088742F" w:rsidRDefault="0088742F" w:rsidP="00CF49B9">
      <w:pPr>
        <w:spacing w:after="0" w:line="240" w:lineRule="auto"/>
      </w:pPr>
      <w:r>
        <w:separator/>
      </w:r>
    </w:p>
  </w:endnote>
  <w:endnote w:type="continuationSeparator" w:id="0">
    <w:p w14:paraId="4E83C89E" w14:textId="77777777" w:rsidR="0088742F" w:rsidRDefault="0088742F" w:rsidP="00CF4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altName w:val="Montserrat"/>
    <w:charset w:val="00"/>
    <w:family w:val="auto"/>
    <w:pitch w:val="variable"/>
    <w:sig w:usb0="2000020F" w:usb1="00000003" w:usb2="00000000" w:usb3="00000000" w:csb0="00000197" w:csb1="00000000"/>
  </w:font>
  <w:font w:name="Soberana Sans">
    <w:altName w:val="Calibri"/>
    <w:panose1 w:val="00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1A10C" w14:textId="77777777" w:rsidR="0088742F" w:rsidRDefault="0088742F" w:rsidP="00CF49B9">
      <w:pPr>
        <w:spacing w:after="0" w:line="240" w:lineRule="auto"/>
      </w:pPr>
      <w:r>
        <w:separator/>
      </w:r>
    </w:p>
  </w:footnote>
  <w:footnote w:type="continuationSeparator" w:id="0">
    <w:p w14:paraId="08C3F883" w14:textId="77777777" w:rsidR="0088742F" w:rsidRDefault="0088742F" w:rsidP="00CF4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259FA1" w14:textId="0B87D5DC" w:rsidR="00CF49B9" w:rsidRDefault="00CF49B9">
    <w:pPr>
      <w:pStyle w:val="Encabezado"/>
    </w:pPr>
    <w:r>
      <w:rPr>
        <w:noProof/>
      </w:rPr>
      <w:drawing>
        <wp:anchor distT="0" distB="0" distL="114300" distR="114300" simplePos="0" relativeHeight="251660288" behindDoc="0" locked="0" layoutInCell="1" hidden="0" allowOverlap="1" wp14:anchorId="25677BA9" wp14:editId="5B563B80">
          <wp:simplePos x="0" y="0"/>
          <wp:positionH relativeFrom="column">
            <wp:posOffset>4453255</wp:posOffset>
          </wp:positionH>
          <wp:positionV relativeFrom="paragraph">
            <wp:posOffset>-53018</wp:posOffset>
          </wp:positionV>
          <wp:extent cx="1168400" cy="444500"/>
          <wp:effectExtent l="0" t="0" r="0" b="0"/>
          <wp:wrapNone/>
          <wp:docPr id="7" name="image2.png"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31" name="image2.png" descr="Imagen que contiene Texto&#10;&#10;Descripción generada automáticamente"/>
                  <pic:cNvPicPr preferRelativeResize="0"/>
                </pic:nvPicPr>
                <pic:blipFill>
                  <a:blip r:embed="rId1"/>
                  <a:srcRect/>
                  <a:stretch>
                    <a:fillRect/>
                  </a:stretch>
                </pic:blipFill>
                <pic:spPr>
                  <a:xfrm>
                    <a:off x="0" y="0"/>
                    <a:ext cx="1168400" cy="444500"/>
                  </a:xfrm>
                  <a:prstGeom prst="rect">
                    <a:avLst/>
                  </a:prstGeom>
                  <a:ln/>
                </pic:spPr>
              </pic:pic>
            </a:graphicData>
          </a:graphic>
        </wp:anchor>
      </w:drawing>
    </w:r>
    <w:r>
      <w:rPr>
        <w:noProof/>
        <w:color w:val="000000"/>
      </w:rPr>
      <w:drawing>
        <wp:anchor distT="0" distB="0" distL="114300" distR="114300" simplePos="0" relativeHeight="251658240" behindDoc="1" locked="0" layoutInCell="1" allowOverlap="1" wp14:anchorId="1A44E853" wp14:editId="1C52C1C3">
          <wp:simplePos x="0" y="0"/>
          <wp:positionH relativeFrom="column">
            <wp:posOffset>3175</wp:posOffset>
          </wp:positionH>
          <wp:positionV relativeFrom="paragraph">
            <wp:posOffset>-23078</wp:posOffset>
          </wp:positionV>
          <wp:extent cx="2304415" cy="494030"/>
          <wp:effectExtent l="0" t="0" r="635" b="1270"/>
          <wp:wrapTight wrapText="bothSides">
            <wp:wrapPolygon edited="0">
              <wp:start x="1071" y="0"/>
              <wp:lineTo x="0" y="3332"/>
              <wp:lineTo x="0" y="19990"/>
              <wp:lineTo x="1428" y="20823"/>
              <wp:lineTo x="3214" y="20823"/>
              <wp:lineTo x="21427" y="18324"/>
              <wp:lineTo x="21427" y="14159"/>
              <wp:lineTo x="20713" y="13326"/>
              <wp:lineTo x="20713" y="2499"/>
              <wp:lineTo x="3036" y="0"/>
              <wp:lineTo x="1071" y="0"/>
            </wp:wrapPolygon>
          </wp:wrapTight>
          <wp:docPr id="8" name="Imagen 8"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descr="Imagen que contiene Texto&#10;&#10;Descripción generada automá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4415" cy="4940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641F6"/>
    <w:multiLevelType w:val="multilevel"/>
    <w:tmpl w:val="67D23DE2"/>
    <w:lvl w:ilvl="0">
      <w:start w:val="1"/>
      <w:numFmt w:val="bullet"/>
      <w:lvlText w:val="•"/>
      <w:lvlJc w:val="left"/>
      <w:pPr>
        <w:ind w:left="1413" w:hanging="704"/>
      </w:pPr>
      <w:rPr>
        <w:rFonts w:ascii="Cambria" w:eastAsia="Cambria" w:hAnsi="Cambria" w:cs="Cambri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917045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B9"/>
    <w:rsid w:val="000A3C98"/>
    <w:rsid w:val="00127233"/>
    <w:rsid w:val="00314B51"/>
    <w:rsid w:val="003C7571"/>
    <w:rsid w:val="003F2EAB"/>
    <w:rsid w:val="00457862"/>
    <w:rsid w:val="00534812"/>
    <w:rsid w:val="005717C8"/>
    <w:rsid w:val="005D623F"/>
    <w:rsid w:val="005E0E62"/>
    <w:rsid w:val="005E7C8F"/>
    <w:rsid w:val="00614444"/>
    <w:rsid w:val="00720D89"/>
    <w:rsid w:val="00770106"/>
    <w:rsid w:val="00786C38"/>
    <w:rsid w:val="007954FF"/>
    <w:rsid w:val="00820861"/>
    <w:rsid w:val="00846880"/>
    <w:rsid w:val="00856DF8"/>
    <w:rsid w:val="00875A45"/>
    <w:rsid w:val="0088018A"/>
    <w:rsid w:val="0088742F"/>
    <w:rsid w:val="008B67B6"/>
    <w:rsid w:val="008F400E"/>
    <w:rsid w:val="009B2382"/>
    <w:rsid w:val="009F2133"/>
    <w:rsid w:val="00A24A2F"/>
    <w:rsid w:val="00A86DC3"/>
    <w:rsid w:val="00B041D2"/>
    <w:rsid w:val="00B23A0A"/>
    <w:rsid w:val="00B42C5C"/>
    <w:rsid w:val="00B7670E"/>
    <w:rsid w:val="00B9650F"/>
    <w:rsid w:val="00BC3954"/>
    <w:rsid w:val="00C16422"/>
    <w:rsid w:val="00C82D4C"/>
    <w:rsid w:val="00CF49B9"/>
    <w:rsid w:val="00D94126"/>
    <w:rsid w:val="00DF5BC5"/>
    <w:rsid w:val="00E56094"/>
    <w:rsid w:val="00EA0137"/>
    <w:rsid w:val="00F15BE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BA93"/>
  <w15:chartTrackingRefBased/>
  <w15:docId w15:val="{EBCB0C9D-83AA-4872-A96E-B5756B19C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F49B9"/>
    <w:pPr>
      <w:spacing w:after="200" w:line="276" w:lineRule="auto"/>
    </w:pPr>
    <w:rPr>
      <w:rFonts w:ascii="Calibri" w:eastAsia="Calibri" w:hAnsi="Calibri" w:cs="Calibri"/>
      <w:lang w:eastAsia="es-MX"/>
    </w:rPr>
  </w:style>
  <w:style w:type="paragraph" w:styleId="Ttulo2">
    <w:name w:val="heading 2"/>
    <w:basedOn w:val="Normal"/>
    <w:next w:val="Normal"/>
    <w:link w:val="Ttulo2Car"/>
    <w:rsid w:val="00CF49B9"/>
    <w:pPr>
      <w:keepNext/>
      <w:keepLines/>
      <w:spacing w:before="40" w:after="0"/>
      <w:jc w:val="center"/>
      <w:outlineLvl w:val="1"/>
    </w:pPr>
    <w:rPr>
      <w:rFonts w:ascii="Cambria" w:eastAsia="Cambria" w:hAnsi="Cambria" w:cs="Cambria"/>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CF49B9"/>
    <w:rPr>
      <w:rFonts w:ascii="Cambria" w:eastAsia="Cambria" w:hAnsi="Cambria" w:cs="Cambria"/>
      <w:b/>
      <w:i/>
      <w:lang w:eastAsia="es-MX"/>
    </w:rPr>
  </w:style>
  <w:style w:type="table" w:customStyle="1" w:styleId="1">
    <w:name w:val="1"/>
    <w:basedOn w:val="Tablanormal"/>
    <w:rsid w:val="00CF49B9"/>
    <w:pPr>
      <w:spacing w:after="200" w:line="276" w:lineRule="auto"/>
    </w:pPr>
    <w:rPr>
      <w:rFonts w:ascii="Calibri" w:eastAsia="Calibri" w:hAnsi="Calibri" w:cs="Calibri"/>
      <w:lang w:eastAsia="es-MX"/>
    </w:rPr>
    <w:tblPr>
      <w:tblStyleRowBandSize w:val="1"/>
      <w:tblStyleColBandSize w:val="1"/>
      <w:tblInd w:w="0" w:type="nil"/>
      <w:tblCellMar>
        <w:left w:w="115" w:type="dxa"/>
        <w:right w:w="115" w:type="dxa"/>
      </w:tblCellMar>
    </w:tblPr>
  </w:style>
  <w:style w:type="paragraph" w:styleId="Encabezado">
    <w:name w:val="header"/>
    <w:basedOn w:val="Normal"/>
    <w:link w:val="EncabezadoCar"/>
    <w:uiPriority w:val="99"/>
    <w:unhideWhenUsed/>
    <w:rsid w:val="00CF49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F49B9"/>
    <w:rPr>
      <w:rFonts w:ascii="Calibri" w:eastAsia="Calibri" w:hAnsi="Calibri" w:cs="Calibri"/>
      <w:lang w:eastAsia="es-MX"/>
    </w:rPr>
  </w:style>
  <w:style w:type="paragraph" w:styleId="Piedepgina">
    <w:name w:val="footer"/>
    <w:basedOn w:val="Normal"/>
    <w:link w:val="PiedepginaCar"/>
    <w:uiPriority w:val="99"/>
    <w:unhideWhenUsed/>
    <w:rsid w:val="00CF49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F49B9"/>
    <w:rPr>
      <w:rFonts w:ascii="Calibri" w:eastAsia="Calibri" w:hAnsi="Calibri" w:cs="Calibri"/>
      <w:lang w:eastAsia="es-MX"/>
    </w:rPr>
  </w:style>
  <w:style w:type="paragraph" w:customStyle="1" w:styleId="Default">
    <w:name w:val="Default"/>
    <w:rsid w:val="008F400E"/>
    <w:pPr>
      <w:autoSpaceDE w:val="0"/>
      <w:autoSpaceDN w:val="0"/>
      <w:adjustRightInd w:val="0"/>
      <w:spacing w:after="0" w:line="240" w:lineRule="auto"/>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1192</Words>
  <Characters>6561</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Evelyn J.V.</dc:creator>
  <cp:keywords/>
  <dc:description/>
  <cp:lastModifiedBy>Carolina Maldonado Carreño</cp:lastModifiedBy>
  <cp:revision>3</cp:revision>
  <dcterms:created xsi:type="dcterms:W3CDTF">2022-10-14T17:48:00Z</dcterms:created>
  <dcterms:modified xsi:type="dcterms:W3CDTF">2022-10-14T17:58:00Z</dcterms:modified>
</cp:coreProperties>
</file>